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6DB28E" w14:textId="51BC8D2A" w:rsidR="000A489B" w:rsidRPr="00D93F58" w:rsidRDefault="0089727E" w:rsidP="000A489B">
      <w:pPr>
        <w:spacing w:after="0" w:line="240" w:lineRule="auto"/>
        <w:ind w:left="4962"/>
        <w:rPr>
          <w:lang w:val="uk-UA"/>
        </w:rPr>
      </w:pPr>
      <w:r>
        <w:rPr>
          <w:lang w:val="uk-UA"/>
        </w:rPr>
        <w:t>Р</w:t>
      </w:r>
      <w:r w:rsidR="000A489B" w:rsidRPr="00D93F58">
        <w:rPr>
          <w:lang w:val="uk-UA"/>
        </w:rPr>
        <w:t>азов</w:t>
      </w:r>
      <w:r>
        <w:rPr>
          <w:lang w:val="uk-UA"/>
        </w:rPr>
        <w:t>ій</w:t>
      </w:r>
      <w:r w:rsidR="000A489B" w:rsidRPr="00D93F58">
        <w:rPr>
          <w:lang w:val="uk-UA"/>
        </w:rPr>
        <w:t xml:space="preserve"> спеціалізова</w:t>
      </w:r>
      <w:r>
        <w:rPr>
          <w:lang w:val="uk-UA"/>
        </w:rPr>
        <w:t>ній</w:t>
      </w:r>
    </w:p>
    <w:p w14:paraId="6267D41D" w14:textId="7BAD2974" w:rsidR="000A489B" w:rsidRPr="00D93F58" w:rsidRDefault="000A489B" w:rsidP="000A489B">
      <w:pPr>
        <w:spacing w:after="0" w:line="240" w:lineRule="auto"/>
        <w:ind w:left="4962"/>
        <w:rPr>
          <w:lang w:val="uk-UA"/>
        </w:rPr>
      </w:pPr>
      <w:r w:rsidRPr="00D93F58">
        <w:rPr>
          <w:lang w:val="uk-UA"/>
        </w:rPr>
        <w:t>вчен</w:t>
      </w:r>
      <w:r w:rsidR="0089727E">
        <w:rPr>
          <w:lang w:val="uk-UA"/>
        </w:rPr>
        <w:t>ій</w:t>
      </w:r>
      <w:r w:rsidRPr="00D93F58">
        <w:rPr>
          <w:lang w:val="uk-UA"/>
        </w:rPr>
        <w:t xml:space="preserve"> рад</w:t>
      </w:r>
      <w:r w:rsidR="0089727E">
        <w:rPr>
          <w:lang w:val="uk-UA"/>
        </w:rPr>
        <w:t xml:space="preserve">і </w:t>
      </w:r>
    </w:p>
    <w:p w14:paraId="16EBD47E" w14:textId="77777777" w:rsidR="000A489B" w:rsidRPr="00D93F58" w:rsidRDefault="000A489B" w:rsidP="000A489B">
      <w:pPr>
        <w:spacing w:after="0" w:line="240" w:lineRule="auto"/>
        <w:ind w:left="4962"/>
        <w:rPr>
          <w:lang w:val="uk-UA"/>
        </w:rPr>
      </w:pPr>
      <w:r w:rsidRPr="00D93F58">
        <w:rPr>
          <w:lang w:val="uk-UA"/>
        </w:rPr>
        <w:t xml:space="preserve">Інституту держави і права </w:t>
      </w:r>
    </w:p>
    <w:p w14:paraId="7043A60F" w14:textId="77777777" w:rsidR="000A489B" w:rsidRPr="00D93F58" w:rsidRDefault="000A489B" w:rsidP="000A489B">
      <w:pPr>
        <w:spacing w:after="0" w:line="240" w:lineRule="auto"/>
        <w:ind w:left="4962"/>
        <w:rPr>
          <w:lang w:val="uk-UA"/>
        </w:rPr>
      </w:pPr>
      <w:r w:rsidRPr="00D93F58">
        <w:rPr>
          <w:lang w:val="uk-UA"/>
        </w:rPr>
        <w:t xml:space="preserve">імені В.М. Корецького НАН України   </w:t>
      </w:r>
    </w:p>
    <w:p w14:paraId="1DE651CF" w14:textId="77777777" w:rsidR="000A489B" w:rsidRPr="00D93F58" w:rsidRDefault="000A489B" w:rsidP="000A489B">
      <w:pPr>
        <w:spacing w:after="0" w:line="240" w:lineRule="auto"/>
        <w:rPr>
          <w:lang w:val="uk-UA"/>
        </w:rPr>
      </w:pPr>
    </w:p>
    <w:p w14:paraId="27DD405A" w14:textId="77777777" w:rsidR="000A489B" w:rsidRPr="00D93F58" w:rsidRDefault="000A489B" w:rsidP="000A489B">
      <w:pPr>
        <w:spacing w:after="0" w:line="240" w:lineRule="auto"/>
        <w:rPr>
          <w:lang w:val="uk-UA"/>
        </w:rPr>
      </w:pPr>
    </w:p>
    <w:p w14:paraId="6DFA817A" w14:textId="77777777" w:rsidR="001629CA" w:rsidRPr="00D93F58" w:rsidRDefault="0041510C" w:rsidP="008374DF">
      <w:pPr>
        <w:spacing w:after="0" w:line="240" w:lineRule="auto"/>
        <w:jc w:val="center"/>
        <w:rPr>
          <w:b/>
          <w:lang w:val="uk-UA"/>
        </w:rPr>
      </w:pPr>
      <w:r w:rsidRPr="00D93F58">
        <w:rPr>
          <w:b/>
          <w:lang w:val="uk-UA"/>
        </w:rPr>
        <w:t>РЕЦЕНЗІЯ</w:t>
      </w:r>
    </w:p>
    <w:p w14:paraId="65E675F1" w14:textId="4F61CCE5" w:rsidR="0089727E" w:rsidRPr="0089727E" w:rsidRDefault="0089727E" w:rsidP="0089727E">
      <w:pPr>
        <w:spacing w:after="0" w:line="240" w:lineRule="auto"/>
        <w:jc w:val="center"/>
        <w:rPr>
          <w:b/>
          <w:lang w:val="uk-UA"/>
        </w:rPr>
      </w:pPr>
      <w:r>
        <w:rPr>
          <w:bCs/>
          <w:lang w:val="uk-UA"/>
        </w:rPr>
        <w:t xml:space="preserve">доктора юридичних наук, </w:t>
      </w:r>
      <w:r w:rsidRPr="00983CAA">
        <w:rPr>
          <w:bCs/>
          <w:lang w:val="uk-UA"/>
        </w:rPr>
        <w:t xml:space="preserve">старшого наукового співробітника, провідного наукового співробітника Інституту </w:t>
      </w:r>
      <w:r w:rsidRPr="0089727E">
        <w:rPr>
          <w:bCs/>
          <w:lang w:val="uk-UA"/>
        </w:rPr>
        <w:t>держави і права імені В.М.Корецького Національної</w:t>
      </w:r>
      <w:r>
        <w:rPr>
          <w:bCs/>
          <w:lang w:val="uk-UA"/>
        </w:rPr>
        <w:t xml:space="preserve"> </w:t>
      </w:r>
      <w:r w:rsidRPr="0089727E">
        <w:rPr>
          <w:bCs/>
          <w:lang w:val="uk-UA"/>
        </w:rPr>
        <w:t>академії наук України</w:t>
      </w:r>
      <w:r>
        <w:rPr>
          <w:bCs/>
          <w:lang w:val="uk-UA"/>
        </w:rPr>
        <w:t xml:space="preserve"> </w:t>
      </w:r>
      <w:r w:rsidRPr="0089727E">
        <w:rPr>
          <w:b/>
          <w:lang w:val="uk-UA"/>
        </w:rPr>
        <w:t>Тимченка Геннадія Петровича</w:t>
      </w:r>
    </w:p>
    <w:p w14:paraId="51A1F797" w14:textId="7DA6CD0E" w:rsidR="001629CA" w:rsidRPr="00D93F58" w:rsidRDefault="0041510C" w:rsidP="008374DF">
      <w:pPr>
        <w:spacing w:after="0" w:line="240" w:lineRule="auto"/>
        <w:jc w:val="center"/>
        <w:rPr>
          <w:lang w:val="uk-UA"/>
        </w:rPr>
      </w:pPr>
      <w:r w:rsidRPr="00D93F58">
        <w:rPr>
          <w:b/>
          <w:lang w:val="uk-UA"/>
        </w:rPr>
        <w:t>на дисертаці</w:t>
      </w:r>
      <w:r w:rsidR="0089727E">
        <w:rPr>
          <w:b/>
          <w:lang w:val="uk-UA"/>
        </w:rPr>
        <w:t>ю</w:t>
      </w:r>
      <w:r w:rsidRPr="00D93F58">
        <w:rPr>
          <w:b/>
          <w:lang w:val="uk-UA"/>
        </w:rPr>
        <w:t xml:space="preserve"> Нурищенка</w:t>
      </w:r>
      <w:r w:rsidR="008374DF" w:rsidRPr="00D93F58">
        <w:rPr>
          <w:b/>
          <w:lang w:val="uk-UA"/>
        </w:rPr>
        <w:t xml:space="preserve"> Романа Сергійовича на тему:</w:t>
      </w:r>
    </w:p>
    <w:p w14:paraId="4DA44128" w14:textId="031599A3" w:rsidR="001629CA" w:rsidRPr="00D93F58" w:rsidRDefault="0041510C" w:rsidP="008374DF">
      <w:pPr>
        <w:spacing w:after="0" w:line="240" w:lineRule="auto"/>
        <w:jc w:val="center"/>
        <w:rPr>
          <w:lang w:val="uk-UA"/>
        </w:rPr>
      </w:pPr>
      <w:r w:rsidRPr="00D93F58">
        <w:rPr>
          <w:b/>
          <w:lang w:val="uk-UA"/>
        </w:rPr>
        <w:t>«Генеза альтернативного вирішення спорів у приватному праві в Україні (ХІХ ст. – 2004 р.)»</w:t>
      </w:r>
      <w:r w:rsidR="0089727E">
        <w:rPr>
          <w:b/>
          <w:lang w:val="uk-UA"/>
        </w:rPr>
        <w:t>,</w:t>
      </w:r>
    </w:p>
    <w:p w14:paraId="31648B8D" w14:textId="77777777" w:rsidR="001629CA" w:rsidRPr="00D93F58" w:rsidRDefault="0041510C" w:rsidP="008374DF">
      <w:pPr>
        <w:spacing w:after="0" w:line="240" w:lineRule="auto"/>
        <w:jc w:val="center"/>
        <w:rPr>
          <w:lang w:val="uk-UA"/>
        </w:rPr>
      </w:pPr>
      <w:r w:rsidRPr="00D93F58">
        <w:rPr>
          <w:lang w:val="uk-UA"/>
        </w:rPr>
        <w:t>подану на здобуття ступеня доктора філософії</w:t>
      </w:r>
    </w:p>
    <w:p w14:paraId="794A68E6" w14:textId="77777777" w:rsidR="001629CA" w:rsidRPr="00D93F58" w:rsidRDefault="0041510C" w:rsidP="008374DF">
      <w:pPr>
        <w:spacing w:after="0" w:line="240" w:lineRule="auto"/>
        <w:jc w:val="center"/>
        <w:rPr>
          <w:lang w:val="uk-UA"/>
        </w:rPr>
      </w:pPr>
      <w:r w:rsidRPr="00D93F58">
        <w:rPr>
          <w:lang w:val="uk-UA"/>
        </w:rPr>
        <w:t>за спеціальністю 081 «Право»</w:t>
      </w:r>
    </w:p>
    <w:p w14:paraId="36A7471A" w14:textId="77777777" w:rsidR="001629CA" w:rsidRPr="00D93F58" w:rsidRDefault="001629CA">
      <w:pPr>
        <w:spacing w:after="0" w:line="360" w:lineRule="auto"/>
        <w:jc w:val="both"/>
        <w:rPr>
          <w:lang w:val="uk-UA"/>
        </w:rPr>
      </w:pPr>
    </w:p>
    <w:p w14:paraId="4A5F7A8D" w14:textId="612005A5" w:rsidR="001629CA" w:rsidRPr="00D93F58" w:rsidRDefault="0041510C" w:rsidP="00D93F58">
      <w:pPr>
        <w:spacing w:after="0" w:line="360" w:lineRule="auto"/>
        <w:ind w:firstLine="567"/>
        <w:jc w:val="both"/>
        <w:rPr>
          <w:lang w:val="uk-UA"/>
        </w:rPr>
      </w:pPr>
      <w:r w:rsidRPr="00D93F58">
        <w:rPr>
          <w:b/>
          <w:lang w:val="uk-UA"/>
        </w:rPr>
        <w:t>Актуальність теми дисертаційного дослідження</w:t>
      </w:r>
      <w:r w:rsidR="00D93F58">
        <w:rPr>
          <w:b/>
          <w:lang w:val="uk-UA"/>
        </w:rPr>
        <w:t xml:space="preserve">. </w:t>
      </w:r>
      <w:r w:rsidRPr="00D93F58">
        <w:rPr>
          <w:lang w:val="uk-UA"/>
        </w:rPr>
        <w:t xml:space="preserve">Подана до рецензування дисертаційна робота Р. С. Нурищенка присвячена проблематиці, яка має істотне значення для сучасної юридичної науки, оскільки дає змогу осмислити </w:t>
      </w:r>
      <w:r w:rsidR="008A5291">
        <w:rPr>
          <w:lang w:val="uk-UA"/>
        </w:rPr>
        <w:t xml:space="preserve">інститут </w:t>
      </w:r>
      <w:r w:rsidRPr="00D93F58">
        <w:rPr>
          <w:lang w:val="uk-UA"/>
        </w:rPr>
        <w:t>альтернативн</w:t>
      </w:r>
      <w:r w:rsidR="008A5291">
        <w:rPr>
          <w:lang w:val="uk-UA"/>
        </w:rPr>
        <w:t>ого</w:t>
      </w:r>
      <w:r w:rsidRPr="00D93F58">
        <w:rPr>
          <w:lang w:val="uk-UA"/>
        </w:rPr>
        <w:t xml:space="preserve"> вирішення спорів не лише як </w:t>
      </w:r>
      <w:r w:rsidR="008A5291">
        <w:rPr>
          <w:lang w:val="uk-UA"/>
        </w:rPr>
        <w:t>дієвий правовий механізм</w:t>
      </w:r>
      <w:r w:rsidRPr="00D93F58">
        <w:rPr>
          <w:lang w:val="uk-UA"/>
        </w:rPr>
        <w:t xml:space="preserve"> сьогодення, а</w:t>
      </w:r>
      <w:r w:rsidR="008A5291">
        <w:rPr>
          <w:lang w:val="uk-UA"/>
        </w:rPr>
        <w:t xml:space="preserve"> </w:t>
      </w:r>
      <w:r w:rsidRPr="00D93F58">
        <w:rPr>
          <w:lang w:val="uk-UA"/>
        </w:rPr>
        <w:t>як результат тривалого історико-правового розвитку</w:t>
      </w:r>
      <w:r w:rsidR="008A5291">
        <w:rPr>
          <w:lang w:val="uk-UA"/>
        </w:rPr>
        <w:t xml:space="preserve"> на території сучасної України</w:t>
      </w:r>
      <w:r w:rsidRPr="00D93F58">
        <w:rPr>
          <w:lang w:val="uk-UA"/>
        </w:rPr>
        <w:t>. Для українського приватного права ця тема є особливо важливою, адже сучасні моделі медіації, третейського розгляду, міжнародного комерційного арбітражу, мирово</w:t>
      </w:r>
      <w:r w:rsidR="008A5291">
        <w:rPr>
          <w:lang w:val="uk-UA"/>
        </w:rPr>
        <w:t>го врегулювання</w:t>
      </w:r>
      <w:r w:rsidRPr="00D93F58">
        <w:rPr>
          <w:lang w:val="uk-UA"/>
        </w:rPr>
        <w:t xml:space="preserve"> та інших позасудових процедур не можуть бути повноцінно зрозумілими без з’ясування їхніх історичних передумов, соціальних функцій і правових трансформацій.</w:t>
      </w:r>
    </w:p>
    <w:p w14:paraId="4BED3F59" w14:textId="5CA387C0" w:rsidR="001629CA" w:rsidRPr="00D93F58" w:rsidRDefault="0041510C" w:rsidP="00D93F58">
      <w:pPr>
        <w:spacing w:after="0" w:line="360" w:lineRule="auto"/>
        <w:ind w:firstLine="709"/>
        <w:jc w:val="both"/>
        <w:rPr>
          <w:lang w:val="uk-UA"/>
        </w:rPr>
      </w:pPr>
      <w:r w:rsidRPr="00D93F58">
        <w:rPr>
          <w:lang w:val="uk-UA"/>
        </w:rPr>
        <w:t xml:space="preserve">Актуальність дослідження визначається також тим, що в Україні протягом тривалого часу альтернативні </w:t>
      </w:r>
      <w:r w:rsidR="008A5291">
        <w:rPr>
          <w:lang w:val="uk-UA"/>
        </w:rPr>
        <w:t xml:space="preserve">форми </w:t>
      </w:r>
      <w:r w:rsidRPr="00D93F58">
        <w:rPr>
          <w:lang w:val="uk-UA"/>
        </w:rPr>
        <w:t>врегулювання спорів сприймалися переважно крізь призму процесуального права або сучасної медіаційної практики. Водночас дисертант пропонує інший ракурс</w:t>
      </w:r>
      <w:r w:rsidR="008A5291">
        <w:rPr>
          <w:lang w:val="uk-UA"/>
        </w:rPr>
        <w:t xml:space="preserve"> наукового дослідження</w:t>
      </w:r>
      <w:r w:rsidRPr="00D93F58">
        <w:rPr>
          <w:lang w:val="uk-UA"/>
        </w:rPr>
        <w:t xml:space="preserve">: він простежує, як відповідні </w:t>
      </w:r>
      <w:r w:rsidR="008A5291">
        <w:rPr>
          <w:lang w:val="uk-UA"/>
        </w:rPr>
        <w:t xml:space="preserve">альтернативні </w:t>
      </w:r>
      <w:r w:rsidRPr="00D93F58">
        <w:rPr>
          <w:lang w:val="uk-UA"/>
        </w:rPr>
        <w:t xml:space="preserve">форми виникали, змінювалися, втрачали або набували ознак добровільності, автономності, договірності та приватноправової спрямованості. Такий підхід є продуктивним, оскільки дозволяє уникнути поверхового уявлення про альтернативне вирішення спорів </w:t>
      </w:r>
      <w:r w:rsidRPr="00D93F58">
        <w:rPr>
          <w:lang w:val="uk-UA"/>
        </w:rPr>
        <w:lastRenderedPageBreak/>
        <w:t>як про явище, що було лише запозичене із зарубіжного досвіду наприкінці ХХ або на початку ХХІ ст.</w:t>
      </w:r>
    </w:p>
    <w:p w14:paraId="67A42826" w14:textId="4CE45081" w:rsidR="001629CA" w:rsidRPr="00D93F58" w:rsidRDefault="0041510C">
      <w:pPr>
        <w:spacing w:after="0" w:line="360" w:lineRule="auto"/>
        <w:ind w:firstLine="709"/>
        <w:jc w:val="both"/>
        <w:rPr>
          <w:lang w:val="uk-UA"/>
        </w:rPr>
      </w:pPr>
      <w:r w:rsidRPr="00D93F58">
        <w:rPr>
          <w:lang w:val="uk-UA"/>
        </w:rPr>
        <w:t>Вибір хро</w:t>
      </w:r>
      <w:r w:rsidR="00D93F58" w:rsidRPr="00D93F58">
        <w:rPr>
          <w:lang w:val="uk-UA"/>
        </w:rPr>
        <w:t>нологічних меж –</w:t>
      </w:r>
      <w:r w:rsidRPr="00D93F58">
        <w:rPr>
          <w:lang w:val="uk-UA"/>
        </w:rPr>
        <w:t xml:space="preserve"> від ХІХ ст</w:t>
      </w:r>
      <w:r w:rsidR="008A5291">
        <w:rPr>
          <w:lang w:val="uk-UA"/>
        </w:rPr>
        <w:t>.</w:t>
      </w:r>
      <w:r w:rsidRPr="00D93F58">
        <w:rPr>
          <w:lang w:val="uk-UA"/>
        </w:rPr>
        <w:t xml:space="preserve"> до 2004 року </w:t>
      </w:r>
      <w:r w:rsidR="00D93F58" w:rsidRPr="00D93F58">
        <w:rPr>
          <w:lang w:val="uk-UA"/>
        </w:rPr>
        <w:t>–</w:t>
      </w:r>
      <w:r w:rsidRPr="00D93F58">
        <w:rPr>
          <w:lang w:val="uk-UA"/>
        </w:rPr>
        <w:t xml:space="preserve"> видається обґрунтованим, оскільки саме в цих межах можна простежити </w:t>
      </w:r>
      <w:r w:rsidR="008A5291">
        <w:rPr>
          <w:lang w:val="uk-UA"/>
        </w:rPr>
        <w:t xml:space="preserve">істотну </w:t>
      </w:r>
      <w:r w:rsidRPr="00D93F58">
        <w:rPr>
          <w:lang w:val="uk-UA"/>
        </w:rPr>
        <w:t xml:space="preserve">зміну правових режимів на українських землях: імперського, революційного, радянського та пострадянського. У кожному з них приватноправовий спір мав різну </w:t>
      </w:r>
      <w:r w:rsidR="008A5291">
        <w:rPr>
          <w:lang w:val="uk-UA"/>
        </w:rPr>
        <w:t xml:space="preserve">правову </w:t>
      </w:r>
      <w:r w:rsidRPr="00D93F58">
        <w:rPr>
          <w:lang w:val="uk-UA"/>
        </w:rPr>
        <w:t>природу, а можливості його позасудового або несудового врегулювання залежали від політичної моделі держави, організації судоустрою, ступеня визнання автономії волі, правової культури та рівня довіри до офіційних інституцій. Завершення дослідження 2004 роком також є логічним, адже цей період пов’язаний із становленням ключових приватноправових і процесуальних кодифікацій незалежної України, а також із формуванням окремих інституційних передумов для сучасної системи альтернативного вирішення спорів.</w:t>
      </w:r>
    </w:p>
    <w:p w14:paraId="1FA52C73" w14:textId="2B082532" w:rsidR="001629CA" w:rsidRPr="00D93F58" w:rsidRDefault="0041510C">
      <w:pPr>
        <w:spacing w:after="0" w:line="360" w:lineRule="auto"/>
        <w:ind w:firstLine="709"/>
        <w:jc w:val="both"/>
        <w:rPr>
          <w:lang w:val="uk-UA"/>
        </w:rPr>
      </w:pPr>
      <w:r w:rsidRPr="00D93F58">
        <w:rPr>
          <w:lang w:val="uk-UA"/>
        </w:rPr>
        <w:t>Дисертаційна робота виконана в межах науково-дослідної діяльності Інституту держави і права імені В. М. Корецького НАН України. Така інституційна прив’язаність дослідження є важливою, оскільки свідчить про його включення в ширший науковий контекст, пов’язаний із вивченням правотворчості, реалізації права та методологічних засад розвитку правової системи. Обрана тема органічно співвідноситься з цими напрямами, адже альтернативне вирішення спорів завжди перебуває на межі кількох</w:t>
      </w:r>
      <w:r w:rsidR="008A5291">
        <w:rPr>
          <w:lang w:val="uk-UA"/>
        </w:rPr>
        <w:t xml:space="preserve"> сфер суспільних відносин</w:t>
      </w:r>
      <w:r w:rsidRPr="00D93F58">
        <w:rPr>
          <w:lang w:val="uk-UA"/>
        </w:rPr>
        <w:t>: приватноправової автономії, судового захисту, правової політики держави та практичних механізмів реалізації суб’єктивних прав.</w:t>
      </w:r>
    </w:p>
    <w:p w14:paraId="1EA6E7CF" w14:textId="410FA032" w:rsidR="001629CA" w:rsidRPr="00D93F58" w:rsidRDefault="0041510C">
      <w:pPr>
        <w:spacing w:after="0" w:line="360" w:lineRule="auto"/>
        <w:ind w:firstLine="709"/>
        <w:jc w:val="both"/>
        <w:rPr>
          <w:lang w:val="uk-UA"/>
        </w:rPr>
      </w:pPr>
      <w:r w:rsidRPr="00D93F58">
        <w:rPr>
          <w:lang w:val="uk-UA"/>
        </w:rPr>
        <w:t xml:space="preserve">Значення роботи полягає не лише в реконструкції історичних фактів чи нормативних конструкцій. </w:t>
      </w:r>
      <w:r w:rsidR="008A5291">
        <w:rPr>
          <w:lang w:val="uk-UA"/>
        </w:rPr>
        <w:t xml:space="preserve">Дисертація </w:t>
      </w:r>
      <w:r w:rsidRPr="00D93F58">
        <w:rPr>
          <w:lang w:val="uk-UA"/>
        </w:rPr>
        <w:t xml:space="preserve">також спрямована на те, щоб показати, як певні форми врегулювання спорів виникали у відповідь на недоліки судової системи, потреби цивільного обороту, особливості соціальної організації або ідеологічні вимоги держави. У такому аспекті дисертація має безпосередній зв’язок із теоретико-прикладними завданнями сучасної юридичної науки, </w:t>
      </w:r>
      <w:r w:rsidRPr="00D93F58">
        <w:rPr>
          <w:lang w:val="uk-UA"/>
        </w:rPr>
        <w:lastRenderedPageBreak/>
        <w:t>оскільки дозволяє краще зрозуміти закономірності формування правових інститутів і межі їх подальшого реформування.</w:t>
      </w:r>
    </w:p>
    <w:p w14:paraId="0417B43D" w14:textId="77777777" w:rsidR="001629CA" w:rsidRPr="00D93F58" w:rsidRDefault="0041510C">
      <w:pPr>
        <w:spacing w:after="0" w:line="360" w:lineRule="auto"/>
        <w:ind w:firstLine="709"/>
        <w:jc w:val="both"/>
        <w:rPr>
          <w:lang w:val="uk-UA"/>
        </w:rPr>
      </w:pPr>
      <w:r w:rsidRPr="00D93F58">
        <w:rPr>
          <w:lang w:val="uk-UA"/>
        </w:rPr>
        <w:t>Дослідницька мета роботи розкривається через прагнення автора сформувати узагальнене бачення становлення, функціонального призначення та динаміки розвитку альтернативних форм вирішення спорів у приватному праві України в різні історичні періоди. У цьому вбачається наукова цілісність дисертації: здобувач не обмежується описом окремих інститутів, а намагається вибудувати логіку їх історичного руху, порівняти правові режими та виявити чинники, які впливали на приватноправову або, навпаки, державоцентричну природу відповідних процедур.</w:t>
      </w:r>
    </w:p>
    <w:p w14:paraId="1C6A38F1" w14:textId="77777777" w:rsidR="001629CA" w:rsidRPr="00D93F58" w:rsidRDefault="0041510C">
      <w:pPr>
        <w:spacing w:after="0" w:line="360" w:lineRule="auto"/>
        <w:ind w:firstLine="709"/>
        <w:jc w:val="both"/>
        <w:rPr>
          <w:lang w:val="uk-UA"/>
        </w:rPr>
      </w:pPr>
      <w:r w:rsidRPr="00D93F58">
        <w:rPr>
          <w:lang w:val="uk-UA"/>
        </w:rPr>
        <w:t>Система завдань дисертаційного дослідження є послідовною та достатньою для реалізації заявленої мети. Вона охоплює аналіз стану наукової розробленості проблеми, методологічне обґрунтування, визначення змісту ключових понять, а також дослідження альтернативних форм вирішення спорів у межах різних державних і правових утворень, що існували на території України або включали українські землі. Завдяки цьому авторові вдалося поєднати загальнотеоретичний, історико-правовий, порівняльний і приватноправовий аспекти теми.</w:t>
      </w:r>
    </w:p>
    <w:p w14:paraId="3217328B" w14:textId="2BA045CA" w:rsidR="001629CA" w:rsidRPr="00D93F58" w:rsidRDefault="0041510C">
      <w:pPr>
        <w:spacing w:after="0" w:line="360" w:lineRule="auto"/>
        <w:ind w:firstLine="709"/>
        <w:jc w:val="both"/>
        <w:rPr>
          <w:lang w:val="uk-UA"/>
        </w:rPr>
      </w:pPr>
      <w:r w:rsidRPr="00D93F58">
        <w:rPr>
          <w:lang w:val="uk-UA"/>
        </w:rPr>
        <w:t>Об’єкт охоплює суспільні відносини, пов’язані з історичним розвитком альтернативних форм вирішення приватноправових спорів, тоді як предмет конкретизує правові засади їх становлення та функціонування. Таке співвідношення дає змогу зберегти необхідний баланс між історичною перспективою та юридичною визначеністю дослідження. Важливо, що дисертант не ототожнює альтернативне вирішення спорів лише з медіацією або третейським судочинством, а розглядає ширший комплекс форм, які в різні історичні періоди виконували функцію позасудового, досудового, примирного, арбітражного, громадського або квазісудового врегулювання.</w:t>
      </w:r>
    </w:p>
    <w:p w14:paraId="3EFAD2CA" w14:textId="77777777" w:rsidR="001629CA" w:rsidRPr="00D93F58" w:rsidRDefault="0041510C">
      <w:pPr>
        <w:spacing w:after="0" w:line="360" w:lineRule="auto"/>
        <w:ind w:firstLine="709"/>
        <w:jc w:val="both"/>
        <w:rPr>
          <w:lang w:val="uk-UA"/>
        </w:rPr>
      </w:pPr>
      <w:r w:rsidRPr="00D93F58">
        <w:rPr>
          <w:lang w:val="uk-UA"/>
        </w:rPr>
        <w:t>Методологічна основа роботи відповідає її історико-правовому характеру. Автор використовує загальнонаукові та спеціально-юридичні методи, серед яких особливе значення мають історичний, порівняльно-правовий, формально-</w:t>
      </w:r>
      <w:r w:rsidRPr="00D93F58">
        <w:rPr>
          <w:lang w:val="uk-UA"/>
        </w:rPr>
        <w:lastRenderedPageBreak/>
        <w:t>юридичний, системний, герменевтичний і прогностичний методи. Їх поєднання є виправданим, оскільки предмет дослідження потребує не лише фіксації нормативних положень, а й пояснення причин їх появи, трансформації та впливу на подальший розвиток правових практик. Особливо продуктивним є використання порівняльно-правового підходу, який дозволяє зіставити відмінності в розвитку альтернативних форм вирішення спорів на українських землях у складі різних імперій та в різні історичні епохи.</w:t>
      </w:r>
    </w:p>
    <w:p w14:paraId="3775767C" w14:textId="77777777" w:rsidR="001629CA" w:rsidRPr="00D93F58" w:rsidRDefault="0041510C">
      <w:pPr>
        <w:spacing w:after="0" w:line="360" w:lineRule="auto"/>
        <w:ind w:firstLine="709"/>
        <w:jc w:val="both"/>
        <w:rPr>
          <w:lang w:val="uk-UA"/>
        </w:rPr>
      </w:pPr>
      <w:r w:rsidRPr="00D93F58">
        <w:rPr>
          <w:lang w:val="uk-UA"/>
        </w:rPr>
        <w:t>Структура роботи є логічною і відповідає меті дослідження. Дисертація складається зі вступу, чотирьох розділів, висновків, списку використаних джерел і додатку. Така побудова дозволяє поступово перейти від теоретико-методологічних засад до аналізу конкретних істор</w:t>
      </w:r>
      <w:r w:rsidR="00D93F58">
        <w:rPr>
          <w:lang w:val="uk-UA"/>
        </w:rPr>
        <w:t xml:space="preserve">ико-правових періодів, а потім </w:t>
      </w:r>
      <w:r w:rsidR="00D93F58" w:rsidRPr="0089727E">
        <w:rPr>
          <w:lang w:val="ru-RU"/>
        </w:rPr>
        <w:t>–</w:t>
      </w:r>
      <w:r w:rsidRPr="00D93F58">
        <w:rPr>
          <w:lang w:val="uk-UA"/>
        </w:rPr>
        <w:t xml:space="preserve"> до узагальнення закономірностей розвитку альтернативного вирішення спорів у приватному праві України.</w:t>
      </w:r>
    </w:p>
    <w:p w14:paraId="304F4A7D" w14:textId="77777777" w:rsidR="001629CA" w:rsidRPr="00D93F58" w:rsidRDefault="0041510C">
      <w:pPr>
        <w:spacing w:after="0" w:line="360" w:lineRule="auto"/>
        <w:ind w:firstLine="709"/>
        <w:jc w:val="both"/>
        <w:rPr>
          <w:lang w:val="uk-UA"/>
        </w:rPr>
      </w:pPr>
      <w:r w:rsidRPr="00D93F58">
        <w:rPr>
          <w:lang w:val="uk-UA"/>
        </w:rPr>
        <w:t>У першому розділі досліджено теоретико-методологічні основи проблематики. Позитивним є те, що автор приділяє увагу не лише огляду наукових джерел, а й систематизації доктринальних підходів до розуміння альтернативного вирішення спорів. Така систематизація має самостійне значення, оскільки в українській юридичній науці досі існує різноманітність термінів: «альтернативні способи», «альтернативні методи», «альтернативні форми», «позасудове врегулювання», «досудове врегулювання», «примирні процедури». Встановлення змістовних меж цих категорій є необхідною умовою для подальшого аналізу.</w:t>
      </w:r>
    </w:p>
    <w:p w14:paraId="6CE97646" w14:textId="5365BBE6" w:rsidR="001629CA" w:rsidRPr="00D93F58" w:rsidRDefault="0041510C">
      <w:pPr>
        <w:spacing w:after="0" w:line="360" w:lineRule="auto"/>
        <w:ind w:firstLine="709"/>
        <w:jc w:val="both"/>
        <w:rPr>
          <w:lang w:val="uk-UA"/>
        </w:rPr>
      </w:pPr>
      <w:r w:rsidRPr="00D93F58">
        <w:rPr>
          <w:lang w:val="uk-UA"/>
        </w:rPr>
        <w:t>Другий розділ присвячено історико-правовим засадам альтернативного вирішення спорів у ХІХ та на початку ХХ ст. У цьому фрагменті роботи особливо важливим є порівняння розвитку відповідних форм на землях, що перебували під впливом різних імперських правових систем. Дисертант показує, що альтернативне врегулювання спорів у цей період не мало єдиного сценарію розвитку. Його функціонування залежало від організації судів, доступності правосуддя, соціальної стратифікації, рівня формалізації процесуальних процедур і місцевих правових традицій.</w:t>
      </w:r>
    </w:p>
    <w:p w14:paraId="536B459A" w14:textId="14719956" w:rsidR="001629CA" w:rsidRPr="00D93F58" w:rsidRDefault="0041510C">
      <w:pPr>
        <w:spacing w:after="0" w:line="360" w:lineRule="auto"/>
        <w:ind w:firstLine="709"/>
        <w:jc w:val="both"/>
        <w:rPr>
          <w:lang w:val="uk-UA"/>
        </w:rPr>
      </w:pPr>
      <w:r w:rsidRPr="00D93F58">
        <w:rPr>
          <w:lang w:val="uk-UA"/>
        </w:rPr>
        <w:lastRenderedPageBreak/>
        <w:t>Третій розділ охоплює ХХ ст</w:t>
      </w:r>
      <w:r w:rsidR="008A5291">
        <w:rPr>
          <w:lang w:val="uk-UA"/>
        </w:rPr>
        <w:t>.</w:t>
      </w:r>
      <w:r w:rsidRPr="00D93F58">
        <w:rPr>
          <w:lang w:val="uk-UA"/>
        </w:rPr>
        <w:t xml:space="preserve">, включаючи період Української революції, становлення радянської влади та розвиток відповідних форм в УСРР/УРСР. Цей розділ є одним із найбільш концептуально важливих, оскільки саме на матеріалі радянського періоду автор показує, як альтернативні форми врегулювання можуть втрачати приватноправову природу. Державний арбітраж, товариські суди, комісії по трудових спорах та інші інституції розглядаються не лише як організаційні механізми, а як прояв певної правової культури, в якій держава </w:t>
      </w:r>
      <w:r w:rsidR="008A5291">
        <w:rPr>
          <w:lang w:val="uk-UA"/>
        </w:rPr>
        <w:t xml:space="preserve">була </w:t>
      </w:r>
      <w:r w:rsidRPr="00D93F58">
        <w:rPr>
          <w:lang w:val="uk-UA"/>
        </w:rPr>
        <w:t>головним модератором і контролером правових конфліктів.</w:t>
      </w:r>
    </w:p>
    <w:p w14:paraId="555A0D9F" w14:textId="4F05D9FF" w:rsidR="001629CA" w:rsidRPr="00D93F58" w:rsidRDefault="0041510C">
      <w:pPr>
        <w:spacing w:after="0" w:line="360" w:lineRule="auto"/>
        <w:ind w:firstLine="709"/>
        <w:jc w:val="both"/>
        <w:rPr>
          <w:lang w:val="uk-UA"/>
        </w:rPr>
      </w:pPr>
      <w:r w:rsidRPr="00D93F58">
        <w:rPr>
          <w:lang w:val="uk-UA"/>
        </w:rPr>
        <w:t>У четвертому розділі проаналізовано історико-правові засади альтернативного вирішення спорів у сучасній Україні до 2004 року. Перевагою цього розділу є те, що дисертант показує перехід від радянської спадщини до приватноправової моделі, у якій дедалі більшого значення набувають</w:t>
      </w:r>
      <w:r w:rsidR="008A5291">
        <w:rPr>
          <w:lang w:val="uk-UA"/>
        </w:rPr>
        <w:t xml:space="preserve"> </w:t>
      </w:r>
      <w:r w:rsidRPr="00D93F58">
        <w:rPr>
          <w:lang w:val="uk-UA"/>
        </w:rPr>
        <w:t xml:space="preserve">автономія волі сторін, </w:t>
      </w:r>
      <w:r w:rsidR="008A5291">
        <w:rPr>
          <w:lang w:val="uk-UA"/>
        </w:rPr>
        <w:t xml:space="preserve">принцип добровільності, </w:t>
      </w:r>
      <w:r w:rsidRPr="00D93F58">
        <w:rPr>
          <w:lang w:val="uk-UA"/>
        </w:rPr>
        <w:t xml:space="preserve">арбітражна угода, третейський розгляд, міжнародний комерційний арбітраж і процесуальні форми мирного врегулювання. Саме в цьому періоді особливо помітною стає зміна філософії правового регулювання: від адміністративної керованості спору до визнання сторін активними учасниками вибору </w:t>
      </w:r>
      <w:r w:rsidR="008C6C00">
        <w:rPr>
          <w:lang w:val="uk-UA"/>
        </w:rPr>
        <w:t xml:space="preserve">форми </w:t>
      </w:r>
      <w:r w:rsidRPr="00D93F58">
        <w:rPr>
          <w:lang w:val="uk-UA"/>
        </w:rPr>
        <w:t>захисту своїх прав.</w:t>
      </w:r>
    </w:p>
    <w:p w14:paraId="7AC95D15" w14:textId="2E88DFC8" w:rsidR="001629CA" w:rsidRPr="00D93F58" w:rsidRDefault="0041510C">
      <w:pPr>
        <w:spacing w:after="0" w:line="360" w:lineRule="auto"/>
        <w:ind w:firstLine="709"/>
        <w:jc w:val="both"/>
        <w:rPr>
          <w:lang w:val="uk-UA"/>
        </w:rPr>
      </w:pPr>
      <w:r w:rsidRPr="00D93F58">
        <w:rPr>
          <w:lang w:val="uk-UA"/>
        </w:rPr>
        <w:t>Висновки дисертації відповідають поставленим завданням і відображають основні результати дослідження. Вони не обмежуються констатацією змісту розділів, а містять узагальнення щодо закономірностей розвитку альтернативного вирішення спорів, його залежності від типу державності, судової політики, рівня правової культури та простору приватної автономії. Така структура робить роботу завершеною і внутрішньо узгодженою.</w:t>
      </w:r>
    </w:p>
    <w:p w14:paraId="1A04E40B" w14:textId="77777777" w:rsidR="007461F6" w:rsidRPr="007461F6" w:rsidRDefault="007461F6" w:rsidP="007461F6">
      <w:pPr>
        <w:spacing w:after="0" w:line="360" w:lineRule="auto"/>
        <w:ind w:firstLine="567"/>
        <w:jc w:val="both"/>
        <w:rPr>
          <w:lang w:val="uk-UA"/>
        </w:rPr>
      </w:pPr>
      <w:r w:rsidRPr="007461F6">
        <w:rPr>
          <w:b/>
          <w:lang w:val="uk-UA"/>
        </w:rPr>
        <w:t>Наукова новизна отриманих результатів</w:t>
      </w:r>
      <w:r w:rsidRPr="007461F6">
        <w:rPr>
          <w:lang w:val="uk-UA"/>
        </w:rPr>
        <w:t xml:space="preserve"> полягає насамперед у комплексному історико-правовому підході до дослідження альтернативного вирішення спорів у приватному праві України. Цінність роботи вбачається в тому, що автор не розглядає сучасні альтернативні процедури як відокремлені правові інститути, а простежує їх розвиток у ширшому історичному контексті. Завдяки цьому в дисертації показано не лише факт існування окремих форм </w:t>
      </w:r>
      <w:r w:rsidRPr="007461F6">
        <w:rPr>
          <w:lang w:val="uk-UA"/>
        </w:rPr>
        <w:lastRenderedPageBreak/>
        <w:t>врегулювання спорів у минулому, а й зміну їх змісту, функціонального призначення, правової природи та співвідношення із судовим захистом.</w:t>
      </w:r>
    </w:p>
    <w:p w14:paraId="48AD45C0" w14:textId="77777777" w:rsidR="007461F6" w:rsidRPr="007461F6" w:rsidRDefault="007461F6" w:rsidP="007461F6">
      <w:pPr>
        <w:spacing w:after="0" w:line="360" w:lineRule="auto"/>
        <w:ind w:firstLine="567"/>
        <w:jc w:val="both"/>
        <w:rPr>
          <w:lang w:val="uk-UA"/>
        </w:rPr>
      </w:pPr>
      <w:r w:rsidRPr="007461F6">
        <w:rPr>
          <w:lang w:val="uk-UA"/>
        </w:rPr>
        <w:t>За результатами дисертаційного дослідження автором сформульовано низку наукових положень і висновків, які характеризують особистий науковий внесок здобувача. До найбільш вагомих положень наукової новизни доцільно віднести такі:</w:t>
      </w:r>
    </w:p>
    <w:p w14:paraId="3A59A2BA" w14:textId="77777777" w:rsidR="007461F6" w:rsidRPr="007461F6" w:rsidRDefault="007461F6" w:rsidP="007461F6">
      <w:pPr>
        <w:spacing w:after="0" w:line="360" w:lineRule="auto"/>
        <w:ind w:firstLine="567"/>
        <w:jc w:val="both"/>
        <w:rPr>
          <w:lang w:val="uk-UA"/>
        </w:rPr>
      </w:pPr>
      <w:r w:rsidRPr="007461F6">
        <w:rPr>
          <w:lang w:val="uk-UA"/>
        </w:rPr>
        <w:t>вперше:</w:t>
      </w:r>
    </w:p>
    <w:p w14:paraId="1BC49A75" w14:textId="77777777" w:rsidR="007461F6" w:rsidRPr="007461F6" w:rsidRDefault="007461F6" w:rsidP="007461F6">
      <w:pPr>
        <w:spacing w:after="0" w:line="360" w:lineRule="auto"/>
        <w:ind w:firstLine="567"/>
        <w:jc w:val="both"/>
        <w:rPr>
          <w:lang w:val="uk-UA"/>
        </w:rPr>
      </w:pPr>
      <w:r w:rsidRPr="007461F6">
        <w:rPr>
          <w:lang w:val="uk-UA"/>
        </w:rPr>
        <w:t>– запропоновано цілісну історико-правову модель розвитку альтернативних форм вирішення спорів на українських землях, що дозволяє розглядати їх не як механічно запозичений іноземний інститут, а як результат тривалої еволюції правових практик, нормативних рішень та соціально-політичних умов;</w:t>
      </w:r>
    </w:p>
    <w:p w14:paraId="606628A8" w14:textId="77777777" w:rsidR="007461F6" w:rsidRPr="007461F6" w:rsidRDefault="007461F6" w:rsidP="007461F6">
      <w:pPr>
        <w:spacing w:after="0" w:line="360" w:lineRule="auto"/>
        <w:ind w:firstLine="567"/>
        <w:jc w:val="both"/>
        <w:rPr>
          <w:lang w:val="uk-UA"/>
        </w:rPr>
      </w:pPr>
      <w:r w:rsidRPr="007461F6">
        <w:rPr>
          <w:lang w:val="uk-UA"/>
        </w:rPr>
        <w:t>– систематизовано історичні прототипи сучасних альтернативних форм вирішення спорів, зокрема через виокремлення таких ознак, як договірний характер, письмова форма, юридичне значення домовленостей, способи забезпечення виконання рішень та обмеження повторного звернення до суду;</w:t>
      </w:r>
    </w:p>
    <w:p w14:paraId="4A32B10A" w14:textId="77777777" w:rsidR="007461F6" w:rsidRPr="007461F6" w:rsidRDefault="007461F6" w:rsidP="007461F6">
      <w:pPr>
        <w:spacing w:after="0" w:line="360" w:lineRule="auto"/>
        <w:ind w:firstLine="567"/>
        <w:jc w:val="both"/>
        <w:rPr>
          <w:lang w:val="uk-UA"/>
        </w:rPr>
      </w:pPr>
      <w:r w:rsidRPr="007461F6">
        <w:rPr>
          <w:lang w:val="uk-UA"/>
        </w:rPr>
        <w:t>– здійснено порівняльно-правовий аналіз медіації та комісії по трудових спорах, що дало змогу встановити їхні спільні риси та принципові відмінності;</w:t>
      </w:r>
    </w:p>
    <w:p w14:paraId="15BE97B7" w14:textId="77777777" w:rsidR="007461F6" w:rsidRPr="007461F6" w:rsidRDefault="007461F6" w:rsidP="007461F6">
      <w:pPr>
        <w:spacing w:after="0" w:line="360" w:lineRule="auto"/>
        <w:ind w:firstLine="567"/>
        <w:jc w:val="both"/>
        <w:rPr>
          <w:lang w:val="uk-UA"/>
        </w:rPr>
      </w:pPr>
      <w:r w:rsidRPr="007461F6">
        <w:rPr>
          <w:lang w:val="uk-UA"/>
        </w:rPr>
        <w:t>– доведено, що в радянський період альтернативні форми вирішення спорів значною мірою функціонували як інструмент державного управління та адміністративно-правового впливу, а не як прояв автономії волі сторін, добровільності та конфіденційності.</w:t>
      </w:r>
    </w:p>
    <w:p w14:paraId="4BCEFB1B" w14:textId="77777777" w:rsidR="007461F6" w:rsidRPr="007461F6" w:rsidRDefault="007461F6" w:rsidP="007461F6">
      <w:pPr>
        <w:spacing w:after="0" w:line="360" w:lineRule="auto"/>
        <w:ind w:firstLine="567"/>
        <w:jc w:val="both"/>
        <w:rPr>
          <w:lang w:val="uk-UA"/>
        </w:rPr>
      </w:pPr>
      <w:r w:rsidRPr="007461F6">
        <w:rPr>
          <w:lang w:val="uk-UA"/>
        </w:rPr>
        <w:t>удосконалено:</w:t>
      </w:r>
    </w:p>
    <w:p w14:paraId="5E841A6A" w14:textId="77777777" w:rsidR="007461F6" w:rsidRPr="007461F6" w:rsidRDefault="007461F6" w:rsidP="007461F6">
      <w:pPr>
        <w:spacing w:after="0" w:line="360" w:lineRule="auto"/>
        <w:ind w:firstLine="567"/>
        <w:jc w:val="both"/>
        <w:rPr>
          <w:lang w:val="uk-UA"/>
        </w:rPr>
      </w:pPr>
      <w:r w:rsidRPr="007461F6">
        <w:rPr>
          <w:lang w:val="uk-UA"/>
        </w:rPr>
        <w:t>– понятійно-термінологічний апарат дослідження, зокрема уточнено зміст понять «спір», «конфлікт», «альтернативна форма вирішення спору» та обґрунтовано недоцільність їх ототожнення;</w:t>
      </w:r>
    </w:p>
    <w:p w14:paraId="0CF64C06" w14:textId="77777777" w:rsidR="007461F6" w:rsidRPr="007461F6" w:rsidRDefault="007461F6" w:rsidP="007461F6">
      <w:pPr>
        <w:spacing w:after="0" w:line="360" w:lineRule="auto"/>
        <w:ind w:firstLine="567"/>
        <w:jc w:val="both"/>
        <w:rPr>
          <w:lang w:val="uk-UA"/>
        </w:rPr>
      </w:pPr>
      <w:r w:rsidRPr="007461F6">
        <w:rPr>
          <w:lang w:val="uk-UA"/>
        </w:rPr>
        <w:t xml:space="preserve">– визначення поняття «альтернативна форма вирішення спорів» як несудової процедури врегулювання спору чи конфлікту, що спрямована на захист порушених, невизнаних або оспорюваних прав і ґрунтується на принципах верховенства права, добровільності, незалежності, неупередженості, </w:t>
      </w:r>
      <w:r w:rsidRPr="007461F6">
        <w:rPr>
          <w:lang w:val="uk-UA"/>
        </w:rPr>
        <w:lastRenderedPageBreak/>
        <w:t>рівності сторін та обов’язковості виконання досягнутих домовленостей або прийнятих рішень;</w:t>
      </w:r>
    </w:p>
    <w:p w14:paraId="5FCF2ACA" w14:textId="77777777" w:rsidR="007461F6" w:rsidRPr="007461F6" w:rsidRDefault="007461F6" w:rsidP="007461F6">
      <w:pPr>
        <w:spacing w:after="0" w:line="360" w:lineRule="auto"/>
        <w:ind w:firstLine="567"/>
        <w:jc w:val="both"/>
        <w:rPr>
          <w:lang w:val="uk-UA"/>
        </w:rPr>
      </w:pPr>
      <w:r w:rsidRPr="007461F6">
        <w:rPr>
          <w:lang w:val="uk-UA"/>
        </w:rPr>
        <w:t>– науковий висновок про залежність розвитку альтернативних форм вирішення спорів від історичного типу судоустрою, ефективності судової системи та правової політики держави;</w:t>
      </w:r>
    </w:p>
    <w:p w14:paraId="29A97275" w14:textId="77777777" w:rsidR="007461F6" w:rsidRPr="007461F6" w:rsidRDefault="007461F6" w:rsidP="007461F6">
      <w:pPr>
        <w:spacing w:after="0" w:line="360" w:lineRule="auto"/>
        <w:ind w:firstLine="567"/>
        <w:jc w:val="both"/>
        <w:rPr>
          <w:lang w:val="uk-UA"/>
        </w:rPr>
      </w:pPr>
      <w:r w:rsidRPr="007461F6">
        <w:rPr>
          <w:lang w:val="uk-UA"/>
        </w:rPr>
        <w:t>– положення про те, що в умовах неефективної чи корумпованої судової системи альтернативні форми вирішення спорів часто виконували компенсаторну функцію, тоді як у більш упорядкованих правових системах вони розвивалися як інструмент процесуальної економії, раціоналізації та зручності для сторін.</w:t>
      </w:r>
    </w:p>
    <w:p w14:paraId="6498BBA2" w14:textId="77777777" w:rsidR="007461F6" w:rsidRPr="007461F6" w:rsidRDefault="007461F6" w:rsidP="007461F6">
      <w:pPr>
        <w:spacing w:after="0" w:line="360" w:lineRule="auto"/>
        <w:ind w:firstLine="567"/>
        <w:jc w:val="both"/>
        <w:rPr>
          <w:lang w:val="uk-UA"/>
        </w:rPr>
      </w:pPr>
      <w:r w:rsidRPr="007461F6">
        <w:rPr>
          <w:lang w:val="uk-UA"/>
        </w:rPr>
        <w:t>дістало подальшого розвитку:</w:t>
      </w:r>
    </w:p>
    <w:p w14:paraId="52631A7B" w14:textId="77777777" w:rsidR="007461F6" w:rsidRPr="007461F6" w:rsidRDefault="007461F6" w:rsidP="007461F6">
      <w:pPr>
        <w:spacing w:after="0" w:line="360" w:lineRule="auto"/>
        <w:ind w:firstLine="567"/>
        <w:jc w:val="both"/>
        <w:rPr>
          <w:lang w:val="uk-UA"/>
        </w:rPr>
      </w:pPr>
      <w:r w:rsidRPr="007461F6">
        <w:rPr>
          <w:lang w:val="uk-UA"/>
        </w:rPr>
        <w:t>– наукові положення про вплив судової реформи 1864 року на становлення альтернативних форм врегулювання спорів, зокрема через зміну порядку оформлення мирових угод і розширення процесуальних можливостей сторін;</w:t>
      </w:r>
    </w:p>
    <w:p w14:paraId="3EFBB85A" w14:textId="77777777" w:rsidR="007461F6" w:rsidRPr="007461F6" w:rsidRDefault="007461F6" w:rsidP="007461F6">
      <w:pPr>
        <w:spacing w:after="0" w:line="360" w:lineRule="auto"/>
        <w:ind w:firstLine="567"/>
        <w:jc w:val="both"/>
        <w:rPr>
          <w:lang w:val="uk-UA"/>
        </w:rPr>
      </w:pPr>
      <w:r w:rsidRPr="007461F6">
        <w:rPr>
          <w:lang w:val="uk-UA"/>
        </w:rPr>
        <w:t>– обґрунтування закономірностей розвитку альтернативних форм вирішення спорів на західноукраїнських землях у складі Австрійської та Австро-Угорської імперій як результату модернізації судоустрою, розмежування гілок влади та впорядкування судової системи;</w:t>
      </w:r>
    </w:p>
    <w:p w14:paraId="59DC1C1A" w14:textId="77777777" w:rsidR="007461F6" w:rsidRPr="007461F6" w:rsidRDefault="007461F6" w:rsidP="007461F6">
      <w:pPr>
        <w:spacing w:after="0" w:line="360" w:lineRule="auto"/>
        <w:ind w:firstLine="567"/>
        <w:jc w:val="both"/>
        <w:rPr>
          <w:lang w:val="uk-UA"/>
        </w:rPr>
      </w:pPr>
      <w:r w:rsidRPr="007461F6">
        <w:rPr>
          <w:lang w:val="uk-UA"/>
        </w:rPr>
        <w:t>– історико-правова систематизація альтернативних форм вирішення спорів залежно від змісту суспільних відносин, зокрема процесуально-судових, судово-економічних, трудових і громадських;</w:t>
      </w:r>
    </w:p>
    <w:p w14:paraId="6C2EEF41" w14:textId="77777777" w:rsidR="007461F6" w:rsidRPr="007461F6" w:rsidRDefault="007461F6" w:rsidP="007461F6">
      <w:pPr>
        <w:spacing w:after="0" w:line="360" w:lineRule="auto"/>
        <w:ind w:firstLine="567"/>
        <w:jc w:val="both"/>
        <w:rPr>
          <w:lang w:val="uk-UA"/>
        </w:rPr>
      </w:pPr>
      <w:r w:rsidRPr="007461F6">
        <w:rPr>
          <w:lang w:val="uk-UA"/>
        </w:rPr>
        <w:t>– науковий висновок про зміну правової природи арбітражу після прийняття Закону України «Про міжнародний комерційний арбітраж» 1994 року, оскільки визначального значення набула арбітражна угода сторін, а сам арбітраж отримав договірний і недержавний характер;</w:t>
      </w:r>
    </w:p>
    <w:p w14:paraId="5F9D7A56" w14:textId="77777777" w:rsidR="007461F6" w:rsidRPr="007461F6" w:rsidRDefault="007461F6" w:rsidP="007461F6">
      <w:pPr>
        <w:spacing w:after="0" w:line="360" w:lineRule="auto"/>
        <w:ind w:firstLine="567"/>
        <w:jc w:val="both"/>
        <w:rPr>
          <w:lang w:val="uk-UA"/>
        </w:rPr>
      </w:pPr>
      <w:r w:rsidRPr="007461F6">
        <w:rPr>
          <w:lang w:val="uk-UA"/>
        </w:rPr>
        <w:t>– положення про процесуальне удосконалення третейського розгляду та необхідність його зв’язку із судом через контрольні, виконавчі й гарантійні механізми;</w:t>
      </w:r>
    </w:p>
    <w:p w14:paraId="376B1A79" w14:textId="77777777" w:rsidR="007461F6" w:rsidRPr="007461F6" w:rsidRDefault="007461F6" w:rsidP="007461F6">
      <w:pPr>
        <w:spacing w:after="0" w:line="360" w:lineRule="auto"/>
        <w:ind w:firstLine="567"/>
        <w:jc w:val="both"/>
        <w:rPr>
          <w:lang w:val="uk-UA"/>
        </w:rPr>
      </w:pPr>
      <w:r w:rsidRPr="007461F6">
        <w:rPr>
          <w:lang w:val="uk-UA"/>
        </w:rPr>
        <w:lastRenderedPageBreak/>
        <w:t>– твердження про те, що застосування альтернативних форм врегулювання спору є правом, а не обов’язком сторін, тому не може обмежувати доступ особи до судового захисту.</w:t>
      </w:r>
    </w:p>
    <w:p w14:paraId="22E356A5" w14:textId="77777777" w:rsidR="007461F6" w:rsidRDefault="007461F6" w:rsidP="007461F6">
      <w:pPr>
        <w:spacing w:after="0" w:line="360" w:lineRule="auto"/>
        <w:ind w:firstLine="567"/>
        <w:jc w:val="both"/>
        <w:rPr>
          <w:lang w:val="uk-UA"/>
        </w:rPr>
      </w:pPr>
      <w:r w:rsidRPr="007461F6">
        <w:rPr>
          <w:lang w:val="uk-UA"/>
        </w:rPr>
        <w:t>У сукупності зазначені положення дають підстави стверджувати, що дисертаційна робота має належний рівень наукової новизни, характеризується теоретичною значущістю та становить практичну цінність для подальшого розвитку науки приватного права, процесуального права та інститутів альтернативного вирішення спорів в Україні.</w:t>
      </w:r>
    </w:p>
    <w:p w14:paraId="067FC4BF" w14:textId="77777777" w:rsidR="00EC042A" w:rsidRPr="00EC042A" w:rsidRDefault="00EC042A" w:rsidP="00EC042A">
      <w:pPr>
        <w:spacing w:after="0" w:line="360" w:lineRule="auto"/>
        <w:ind w:firstLine="709"/>
        <w:jc w:val="both"/>
        <w:rPr>
          <w:lang w:val="uk-UA"/>
        </w:rPr>
      </w:pPr>
      <w:r w:rsidRPr="00EC042A">
        <w:rPr>
          <w:b/>
          <w:lang w:val="uk-UA"/>
        </w:rPr>
        <w:t xml:space="preserve">Значення одержаних результатів для науки й практики та рекомендації щодо їх можливого використання. </w:t>
      </w:r>
      <w:r w:rsidRPr="00EC042A">
        <w:rPr>
          <w:lang w:val="uk-UA"/>
        </w:rPr>
        <w:t>Практичне значення дисертації полягає в можливості використання її результатів у науковій, правотворчій та освітній сферах.</w:t>
      </w:r>
    </w:p>
    <w:p w14:paraId="6EAB8DD4" w14:textId="4467EC73" w:rsidR="00EC042A" w:rsidRPr="00EC042A" w:rsidRDefault="00EC042A" w:rsidP="00EC042A">
      <w:pPr>
        <w:spacing w:after="0" w:line="360" w:lineRule="auto"/>
        <w:ind w:firstLine="709"/>
        <w:jc w:val="both"/>
        <w:rPr>
          <w:lang w:val="uk-UA"/>
        </w:rPr>
      </w:pPr>
      <w:r w:rsidRPr="00EC042A">
        <w:rPr>
          <w:lang w:val="uk-UA"/>
        </w:rPr>
        <w:t>У науковому аспекті положення роботи можуть бути корисними для подальших досліджень у сфері приватного права, цивільного і господарського процесу, медіації, третейського судочинства</w:t>
      </w:r>
      <w:r w:rsidR="008C6C00">
        <w:rPr>
          <w:lang w:val="uk-UA"/>
        </w:rPr>
        <w:t>,</w:t>
      </w:r>
      <w:r w:rsidRPr="00EC042A">
        <w:rPr>
          <w:lang w:val="uk-UA"/>
        </w:rPr>
        <w:t xml:space="preserve"> міжнародного комерційного арбітражу</w:t>
      </w:r>
      <w:r w:rsidR="008C6C00">
        <w:rPr>
          <w:lang w:val="uk-UA"/>
        </w:rPr>
        <w:t>, а також теорії українського права</w:t>
      </w:r>
      <w:r w:rsidRPr="00EC042A">
        <w:rPr>
          <w:lang w:val="uk-UA"/>
        </w:rPr>
        <w:t>. Систематизований історико-правовий матеріал створює підґрунтя для глибшого осмислення правової природи альтернативних процедур, меж їх добровільності та співвідношення із судовим захистом.</w:t>
      </w:r>
    </w:p>
    <w:p w14:paraId="466CF1EE" w14:textId="6CEDC41F" w:rsidR="00EC042A" w:rsidRPr="00EC042A" w:rsidRDefault="00EC042A" w:rsidP="00EC042A">
      <w:pPr>
        <w:spacing w:after="0" w:line="360" w:lineRule="auto"/>
        <w:ind w:firstLine="709"/>
        <w:jc w:val="both"/>
        <w:rPr>
          <w:lang w:val="uk-UA"/>
        </w:rPr>
      </w:pPr>
      <w:r w:rsidRPr="00EC042A">
        <w:rPr>
          <w:lang w:val="uk-UA"/>
        </w:rPr>
        <w:t>У правотворчій діяльності висновки дисертації можуть бути враховані під час удосконалення законодавства про медіацію, третейський розгляд, арбітраж, виконання відповідних рішень та процесуальні форми мирного врегулювання спорів.</w:t>
      </w:r>
    </w:p>
    <w:p w14:paraId="5C8A114C" w14:textId="77777777" w:rsidR="001629CA" w:rsidRPr="00D93F58" w:rsidRDefault="00EC042A" w:rsidP="00EC042A">
      <w:pPr>
        <w:spacing w:after="0" w:line="360" w:lineRule="auto"/>
        <w:ind w:firstLine="709"/>
        <w:jc w:val="both"/>
        <w:rPr>
          <w:lang w:val="uk-UA"/>
        </w:rPr>
      </w:pPr>
      <w:r w:rsidRPr="00EC042A">
        <w:rPr>
          <w:lang w:val="uk-UA"/>
        </w:rPr>
        <w:t>Результати дослідження також можуть використовуватися в освітньому процесі під час викладання курсів з історії держави і права України, цивільного права, цивільного та господарського процесу, альтернативного вирішення спорів, медіації й арбітражу. Цінність роботи полягає в тому, що вона дозволяє розглядати альтернативне вирішення спорів не лише як сучасний правовий інструмент, а як історично сформоване та змінюване правове явище.</w:t>
      </w:r>
    </w:p>
    <w:p w14:paraId="37C688A5" w14:textId="227F1A99" w:rsidR="001629CA" w:rsidRPr="00D93F58" w:rsidRDefault="00480813">
      <w:pPr>
        <w:spacing w:after="0" w:line="360" w:lineRule="auto"/>
        <w:ind w:firstLine="709"/>
        <w:jc w:val="both"/>
        <w:rPr>
          <w:lang w:val="uk-UA"/>
        </w:rPr>
      </w:pPr>
      <w:r w:rsidRPr="00480813">
        <w:rPr>
          <w:b/>
          <w:lang w:val="uk-UA"/>
        </w:rPr>
        <w:lastRenderedPageBreak/>
        <w:t>Повнота викладення наукових положень, висновків і рекомендацій в наукових публікаціях, зарахованих за темою дисертації.</w:t>
      </w:r>
      <w:r>
        <w:rPr>
          <w:b/>
          <w:lang w:val="uk-UA"/>
        </w:rPr>
        <w:t xml:space="preserve"> </w:t>
      </w:r>
      <w:r w:rsidR="0041510C" w:rsidRPr="00D93F58">
        <w:rPr>
          <w:lang w:val="uk-UA"/>
        </w:rPr>
        <w:t xml:space="preserve">Результати дисертаційного дослідження пройшли належну апробацію. Основні положення роботи були представлені на науково-практичних і науково-теоретичних конференціях, що свідчить про їх обговорення у фаховому середовищі. Публікаційна активність здобувача також є достатньою: за темою дисертації </w:t>
      </w:r>
      <w:r w:rsidR="0041510C" w:rsidRPr="008C6C00">
        <w:rPr>
          <w:lang w:val="uk-UA"/>
        </w:rPr>
        <w:t xml:space="preserve">опубліковано </w:t>
      </w:r>
      <w:r w:rsidR="008C6C00">
        <w:rPr>
          <w:lang w:val="uk-UA"/>
        </w:rPr>
        <w:t xml:space="preserve">у наукових фахових виданнях України </w:t>
      </w:r>
      <w:r w:rsidR="008C6C00" w:rsidRPr="008C6C00">
        <w:rPr>
          <w:lang w:val="uk-UA"/>
        </w:rPr>
        <w:t>6 наукових стат</w:t>
      </w:r>
      <w:r w:rsidR="008C6C00">
        <w:rPr>
          <w:lang w:val="uk-UA"/>
        </w:rPr>
        <w:t xml:space="preserve">ей та </w:t>
      </w:r>
      <w:r w:rsidR="008C6C00" w:rsidRPr="008C6C00">
        <w:rPr>
          <w:lang w:val="uk-UA"/>
        </w:rPr>
        <w:t>4 тез</w:t>
      </w:r>
      <w:r w:rsidR="008C6C00">
        <w:rPr>
          <w:lang w:val="uk-UA"/>
        </w:rPr>
        <w:t>и</w:t>
      </w:r>
      <w:r w:rsidR="008C6C00" w:rsidRPr="008C6C00">
        <w:rPr>
          <w:lang w:val="uk-UA"/>
        </w:rPr>
        <w:t xml:space="preserve"> доповідей на науково-практичних заходах.</w:t>
      </w:r>
      <w:r w:rsidR="0041510C" w:rsidRPr="00D93F58">
        <w:rPr>
          <w:lang w:val="uk-UA"/>
        </w:rPr>
        <w:t xml:space="preserve"> Це дає підстави вважати, що основні результати дослідження були оприлюднені й доступні для наукової дискусії.</w:t>
      </w:r>
    </w:p>
    <w:p w14:paraId="5674FB54" w14:textId="012C299E" w:rsidR="001629CA" w:rsidRPr="00D93F58" w:rsidRDefault="003513ED">
      <w:pPr>
        <w:spacing w:after="0" w:line="360" w:lineRule="auto"/>
        <w:ind w:firstLine="709"/>
        <w:jc w:val="both"/>
        <w:rPr>
          <w:lang w:val="uk-UA"/>
        </w:rPr>
      </w:pPr>
      <w:r w:rsidRPr="003513ED">
        <w:rPr>
          <w:b/>
          <w:lang w:val="uk-UA"/>
        </w:rPr>
        <w:t xml:space="preserve">Відсутність (наявність) порушення академічної доброчесності. </w:t>
      </w:r>
      <w:r w:rsidR="0041510C" w:rsidRPr="00D93F58">
        <w:rPr>
          <w:lang w:val="uk-UA"/>
        </w:rPr>
        <w:t>Робота написана українською мовою, належним науковим стилем. Виклад є послідовним, аргументованим і зрозумілим. У дисертації простежується авторська позиція щодо ключових питань теми, а висновки випливають із проведеного аналізу. Рецензована праця має самостійний характер, а подані матеріали дають підстави вважати, що здобувач дотримався принципів академічної доброчесності. Ознак, які могли б поставити під сумнів самостійність отриманих результатів, у межах рецензійного аналізу не встановлено.</w:t>
      </w:r>
    </w:p>
    <w:p w14:paraId="60DABA1A" w14:textId="77777777" w:rsidR="001629CA" w:rsidRPr="00D93F58" w:rsidRDefault="003513ED">
      <w:pPr>
        <w:spacing w:after="0" w:line="360" w:lineRule="auto"/>
        <w:ind w:firstLine="709"/>
        <w:jc w:val="both"/>
        <w:rPr>
          <w:lang w:val="uk-UA"/>
        </w:rPr>
      </w:pPr>
      <w:r w:rsidRPr="005476E8">
        <w:rPr>
          <w:rFonts w:cs="Times New Roman"/>
          <w:b/>
          <w:bCs/>
          <w:szCs w:val="28"/>
          <w:lang w:val="uk-UA"/>
        </w:rPr>
        <w:t>Питання для дискусійного обговорення та недоліки дисертації щодо її змісту та оформлення.</w:t>
      </w:r>
      <w:r>
        <w:rPr>
          <w:rFonts w:cs="Times New Roman"/>
          <w:b/>
          <w:bCs/>
          <w:szCs w:val="28"/>
          <w:lang w:val="uk-UA"/>
        </w:rPr>
        <w:t xml:space="preserve"> </w:t>
      </w:r>
      <w:r w:rsidR="0041510C" w:rsidRPr="00D93F58">
        <w:rPr>
          <w:lang w:val="uk-UA"/>
        </w:rPr>
        <w:t>Загальна позитивна оцінка дисертації не виключає можливості висловлення окремих зауважень і побажань, які мають переважно дискусійний характер та можуть бути враховані у подальших наукових розробках автора.</w:t>
      </w:r>
    </w:p>
    <w:p w14:paraId="42226990" w14:textId="7C3C7BDE" w:rsidR="001629CA" w:rsidRPr="00D93F58" w:rsidRDefault="0041510C">
      <w:pPr>
        <w:spacing w:after="0" w:line="360" w:lineRule="auto"/>
        <w:ind w:firstLine="709"/>
        <w:jc w:val="both"/>
        <w:rPr>
          <w:lang w:val="uk-UA"/>
        </w:rPr>
      </w:pPr>
      <w:r w:rsidRPr="00D93F58">
        <w:rPr>
          <w:lang w:val="uk-UA"/>
        </w:rPr>
        <w:t xml:space="preserve">1. У роботі використовується </w:t>
      </w:r>
      <w:r w:rsidR="008C6C00">
        <w:rPr>
          <w:lang w:val="uk-UA"/>
        </w:rPr>
        <w:t>правова конструкція «</w:t>
      </w:r>
      <w:r w:rsidRPr="00D93F58">
        <w:rPr>
          <w:lang w:val="uk-UA"/>
        </w:rPr>
        <w:t>альтернативн</w:t>
      </w:r>
      <w:r w:rsidR="008C6C00">
        <w:rPr>
          <w:lang w:val="uk-UA"/>
        </w:rPr>
        <w:t>і</w:t>
      </w:r>
      <w:r w:rsidRPr="00D93F58">
        <w:rPr>
          <w:lang w:val="uk-UA"/>
        </w:rPr>
        <w:t xml:space="preserve"> форм</w:t>
      </w:r>
      <w:r w:rsidR="008C6C00">
        <w:rPr>
          <w:lang w:val="uk-UA"/>
        </w:rPr>
        <w:t>и</w:t>
      </w:r>
      <w:r w:rsidRPr="00D93F58">
        <w:rPr>
          <w:lang w:val="uk-UA"/>
        </w:rPr>
        <w:t xml:space="preserve"> вирішення </w:t>
      </w:r>
      <w:r w:rsidR="008C6C00">
        <w:rPr>
          <w:lang w:val="uk-UA"/>
        </w:rPr>
        <w:t xml:space="preserve">приватних </w:t>
      </w:r>
      <w:r w:rsidRPr="00D93F58">
        <w:rPr>
          <w:lang w:val="uk-UA"/>
        </w:rPr>
        <w:t>спорів</w:t>
      </w:r>
      <w:r w:rsidR="008C6C00">
        <w:rPr>
          <w:lang w:val="uk-UA"/>
        </w:rPr>
        <w:t>»</w:t>
      </w:r>
      <w:r w:rsidRPr="00D93F58">
        <w:rPr>
          <w:lang w:val="uk-UA"/>
        </w:rPr>
        <w:t xml:space="preserve">, </w:t>
      </w:r>
      <w:r w:rsidR="008C6C00">
        <w:rPr>
          <w:lang w:val="uk-UA"/>
        </w:rPr>
        <w:t>яка</w:t>
      </w:r>
      <w:r w:rsidRPr="00D93F58">
        <w:rPr>
          <w:lang w:val="uk-UA"/>
        </w:rPr>
        <w:t xml:space="preserve"> дозволяє охопити різні історичні явища</w:t>
      </w:r>
      <w:r w:rsidR="008C6C00">
        <w:rPr>
          <w:lang w:val="uk-UA"/>
        </w:rPr>
        <w:t xml:space="preserve"> та форми вирішення спорів</w:t>
      </w:r>
      <w:r w:rsidRPr="00D93F58">
        <w:rPr>
          <w:lang w:val="uk-UA"/>
        </w:rPr>
        <w:t xml:space="preserve">. Водночас у </w:t>
      </w:r>
      <w:r w:rsidR="008C6C00">
        <w:rPr>
          <w:lang w:val="uk-UA"/>
        </w:rPr>
        <w:t xml:space="preserve">роботі </w:t>
      </w:r>
      <w:r w:rsidRPr="00D93F58">
        <w:rPr>
          <w:lang w:val="uk-UA"/>
        </w:rPr>
        <w:t xml:space="preserve">доцільно було б чіткіше позначити критерії, за якими певна історична форма </w:t>
      </w:r>
      <w:r w:rsidR="008C6C00">
        <w:rPr>
          <w:lang w:val="uk-UA"/>
        </w:rPr>
        <w:t xml:space="preserve">вирішення спорів </w:t>
      </w:r>
      <w:r w:rsidRPr="00D93F58">
        <w:rPr>
          <w:lang w:val="uk-UA"/>
        </w:rPr>
        <w:t>визнається саме альтернативною. Це особливо важливо для періодів, у яких сучасне протиставлення судового і позасудового захисту ще не було сформоване в теперішньому значенні.</w:t>
      </w:r>
    </w:p>
    <w:p w14:paraId="3D38854A" w14:textId="54446B0C" w:rsidR="001629CA" w:rsidRPr="00D93F58" w:rsidRDefault="0041510C">
      <w:pPr>
        <w:spacing w:after="0" w:line="360" w:lineRule="auto"/>
        <w:ind w:firstLine="709"/>
        <w:jc w:val="both"/>
        <w:rPr>
          <w:lang w:val="uk-UA"/>
        </w:rPr>
      </w:pPr>
      <w:r w:rsidRPr="00D93F58">
        <w:rPr>
          <w:lang w:val="uk-UA"/>
        </w:rPr>
        <w:lastRenderedPageBreak/>
        <w:t xml:space="preserve">2. Дисертація охоплює значний хронологічний </w:t>
      </w:r>
      <w:r w:rsidR="008C6C00">
        <w:rPr>
          <w:lang w:val="uk-UA"/>
        </w:rPr>
        <w:t xml:space="preserve">та історичний </w:t>
      </w:r>
      <w:r w:rsidRPr="00D93F58">
        <w:rPr>
          <w:lang w:val="uk-UA"/>
        </w:rPr>
        <w:t>матеріал, що є її перевагою. Разом з тим, настільки широке охоплення створює ризик нерівномірності аналізу окремих періодів. Зокрема, у подальших працях було б доцільно ще детальніше зіставити західноукраїнський і східноукраїнський досвід розвитку примирних, третейських та інших форм врегулювання спорів, оскільки вони формувалися в різних правових культурах і під впливом різних моделей судоустрою.</w:t>
      </w:r>
    </w:p>
    <w:p w14:paraId="3C5E48C4" w14:textId="5FCB8D37" w:rsidR="001629CA" w:rsidRPr="00D93F58" w:rsidRDefault="0041510C">
      <w:pPr>
        <w:spacing w:after="0" w:line="360" w:lineRule="auto"/>
        <w:ind w:firstLine="709"/>
        <w:jc w:val="both"/>
        <w:rPr>
          <w:lang w:val="uk-UA"/>
        </w:rPr>
      </w:pPr>
      <w:r w:rsidRPr="00D93F58">
        <w:rPr>
          <w:lang w:val="uk-UA"/>
        </w:rPr>
        <w:t>3. Певного додаткового пояснення потребує співвідношення альтернативного вирішення спорів із категорією приватноправового спору в радянський період. Автор показує державоцентричний характер радянських механізмів, однак саме через це виникає питання: якою мірою окремі радянські форми можуть розглядатися як альтернативні у прив</w:t>
      </w:r>
      <w:r w:rsidR="0029208A">
        <w:rPr>
          <w:lang w:val="uk-UA"/>
        </w:rPr>
        <w:t>атноправовому сенсі, а якою –</w:t>
      </w:r>
      <w:r w:rsidRPr="00D93F58">
        <w:rPr>
          <w:lang w:val="uk-UA"/>
        </w:rPr>
        <w:t xml:space="preserve"> лише як квазісудові або адміністративно-управлінські процедури. Це питання не знижує цінності роботи, але могло б стати предметом окремого поглибленого наукового аналізу.</w:t>
      </w:r>
    </w:p>
    <w:p w14:paraId="081A5BBA" w14:textId="38C0C5E6" w:rsidR="001629CA" w:rsidRPr="00D93F58" w:rsidRDefault="0041510C">
      <w:pPr>
        <w:spacing w:after="0" w:line="360" w:lineRule="auto"/>
        <w:ind w:firstLine="709"/>
        <w:jc w:val="both"/>
        <w:rPr>
          <w:lang w:val="uk-UA"/>
        </w:rPr>
      </w:pPr>
      <w:r w:rsidRPr="00D93F58">
        <w:rPr>
          <w:lang w:val="uk-UA"/>
        </w:rPr>
        <w:t>4. У дисертації обґрунтовано висновок про недопустимість перетворення альтернативних процедур на обов’язковий бар’єр перед зверненням до суду. Водночас сучасна практика знає різні моделі стимулювання сторін до примирення, включаючи повернення частини судового збору, процесуальні наслідки недобросовісної поведінки</w:t>
      </w:r>
      <w:r w:rsidR="004B655C">
        <w:rPr>
          <w:lang w:val="uk-UA"/>
        </w:rPr>
        <w:t>, тощо</w:t>
      </w:r>
      <w:r w:rsidRPr="00D93F58">
        <w:rPr>
          <w:lang w:val="uk-UA"/>
        </w:rPr>
        <w:t xml:space="preserve">. </w:t>
      </w:r>
      <w:r w:rsidR="004B655C">
        <w:rPr>
          <w:lang w:val="uk-UA"/>
        </w:rPr>
        <w:t>У подальших роботах б</w:t>
      </w:r>
      <w:r w:rsidRPr="00D93F58">
        <w:rPr>
          <w:lang w:val="uk-UA"/>
        </w:rPr>
        <w:t>уло б корисно розширити аналіз саме таких «м’яких» стимулів, які не руйнують добровільної природи альтернативного врегулювання, але можуть підвищувати його ефективність.</w:t>
      </w:r>
    </w:p>
    <w:p w14:paraId="34DD7F46" w14:textId="77777777" w:rsidR="001629CA" w:rsidRPr="00D93F58" w:rsidRDefault="0041510C">
      <w:pPr>
        <w:spacing w:after="0" w:line="360" w:lineRule="auto"/>
        <w:ind w:firstLine="709"/>
        <w:jc w:val="both"/>
        <w:rPr>
          <w:lang w:val="uk-UA"/>
        </w:rPr>
      </w:pPr>
      <w:r w:rsidRPr="00D93F58">
        <w:rPr>
          <w:lang w:val="uk-UA"/>
        </w:rPr>
        <w:t xml:space="preserve">Зазначені зауваження </w:t>
      </w:r>
      <w:r w:rsidRPr="004B655C">
        <w:rPr>
          <w:bCs/>
          <w:lang w:val="uk-UA"/>
        </w:rPr>
        <w:t>не ставлять під сумнів наукову цінність дисертації, її самостійність та обґрунтованість основних висновків.</w:t>
      </w:r>
      <w:r w:rsidRPr="00D93F58">
        <w:rPr>
          <w:lang w:val="uk-UA"/>
        </w:rPr>
        <w:t xml:space="preserve"> Вони мають характер наукової дискусії та спрямовані на поглиблення окремих аспектів досліджуваної проблематики.</w:t>
      </w:r>
    </w:p>
    <w:p w14:paraId="30687A92" w14:textId="3B5DCA56" w:rsidR="001629CA" w:rsidRPr="00D93F58" w:rsidRDefault="006A68BE">
      <w:pPr>
        <w:spacing w:after="0" w:line="360" w:lineRule="auto"/>
        <w:ind w:firstLine="709"/>
        <w:jc w:val="both"/>
        <w:rPr>
          <w:lang w:val="uk-UA"/>
        </w:rPr>
      </w:pPr>
      <w:r w:rsidRPr="005476E8">
        <w:rPr>
          <w:rFonts w:cs="Times New Roman"/>
          <w:b/>
          <w:bCs/>
          <w:szCs w:val="28"/>
          <w:lang w:val="uk-UA"/>
        </w:rPr>
        <w:t>Загальний висновок та оцінка дисертації.</w:t>
      </w:r>
      <w:r>
        <w:rPr>
          <w:rFonts w:cs="Times New Roman"/>
          <w:b/>
          <w:bCs/>
          <w:szCs w:val="28"/>
          <w:lang w:val="uk-UA"/>
        </w:rPr>
        <w:t xml:space="preserve"> </w:t>
      </w:r>
      <w:r w:rsidR="0041510C" w:rsidRPr="00D93F58">
        <w:rPr>
          <w:lang w:val="uk-UA"/>
        </w:rPr>
        <w:t xml:space="preserve">Дисертаційна робота Р. С. Нурищенка </w:t>
      </w:r>
      <w:r w:rsidR="004B655C">
        <w:rPr>
          <w:lang w:val="uk-UA"/>
        </w:rPr>
        <w:t xml:space="preserve">на тему </w:t>
      </w:r>
      <w:r w:rsidR="0041510C" w:rsidRPr="00D93F58">
        <w:rPr>
          <w:lang w:val="uk-UA"/>
        </w:rPr>
        <w:t>«Генеза альтернативного вирішення спорів у прива</w:t>
      </w:r>
      <w:r w:rsidR="00BE76F6">
        <w:rPr>
          <w:lang w:val="uk-UA"/>
        </w:rPr>
        <w:t>тному праві в Україні (ХІХ ст. –</w:t>
      </w:r>
      <w:r w:rsidR="0041510C" w:rsidRPr="00D93F58">
        <w:rPr>
          <w:lang w:val="uk-UA"/>
        </w:rPr>
        <w:t xml:space="preserve"> 2004 р.)» є завершеним, самостійним і актуальним </w:t>
      </w:r>
      <w:r w:rsidR="0041510C" w:rsidRPr="00D93F58">
        <w:rPr>
          <w:lang w:val="uk-UA"/>
        </w:rPr>
        <w:lastRenderedPageBreak/>
        <w:t xml:space="preserve">науковим дослідженням, у якому вирішено наукове завдання </w:t>
      </w:r>
      <w:r w:rsidR="00BE76F6">
        <w:rPr>
          <w:lang w:val="uk-UA"/>
        </w:rPr>
        <w:t>–</w:t>
      </w:r>
      <w:r w:rsidR="0041510C" w:rsidRPr="00D93F58">
        <w:rPr>
          <w:lang w:val="uk-UA"/>
        </w:rPr>
        <w:t xml:space="preserve"> розкрито історико-правові засади становлення та розвитку альтернативних форм вирішення спорів у приватному праві України. Робота має належний теоретичний рівень, спирається на достатню джерельну базу, містить науково обґрунтовані висновки та характеризується практичною значущістю.</w:t>
      </w:r>
    </w:p>
    <w:p w14:paraId="3332FA39" w14:textId="77777777" w:rsidR="001629CA" w:rsidRPr="00D93F58" w:rsidRDefault="0041510C">
      <w:pPr>
        <w:spacing w:after="0" w:line="360" w:lineRule="auto"/>
        <w:ind w:firstLine="709"/>
        <w:jc w:val="both"/>
        <w:rPr>
          <w:lang w:val="uk-UA"/>
        </w:rPr>
      </w:pPr>
      <w:r w:rsidRPr="00D93F58">
        <w:rPr>
          <w:lang w:val="uk-UA"/>
        </w:rPr>
        <w:t>За актуальністю обраної теми, ступенем наукової новизни, обґрунтованістю отриманих результатів, теоретичним і практичним значенням дисертаційна робота відповідає спеціальності 081 «Право», вимогам Порядку підготовки здобувачів вищої освіти ступеня доктора філософії та доктора наук у закладах вищої освіти (наукових установах), затвердженого постановою Кабінету Міністрів України від 23 березня 2016 р. № 261, Порядку присудження ступеня доктора філософії та скасування рішення разової спеціалізованої вченої ради закладу вищої освіти, наукової установи про присудження ступеня доктора філософії, затвердженого постановою Кабінету Міністрів України від 12 січня 2022 р. № 44, а також Вимогам до оформлення дисертації, затвердженим наказом Міністерства освіти і науки України від 12 січня 2017 р. № 40.</w:t>
      </w:r>
    </w:p>
    <w:p w14:paraId="45B6259D" w14:textId="793BDF2A" w:rsidR="001629CA" w:rsidRPr="00D93F58" w:rsidRDefault="0041510C">
      <w:pPr>
        <w:spacing w:after="0" w:line="360" w:lineRule="auto"/>
        <w:ind w:firstLine="709"/>
        <w:jc w:val="both"/>
        <w:rPr>
          <w:lang w:val="uk-UA"/>
        </w:rPr>
      </w:pPr>
      <w:r w:rsidRPr="00D93F58">
        <w:rPr>
          <w:lang w:val="uk-UA"/>
        </w:rPr>
        <w:t>З огляду на викладене дисертаційна робота Р</w:t>
      </w:r>
      <w:r w:rsidR="004B655C">
        <w:rPr>
          <w:lang w:val="uk-UA"/>
        </w:rPr>
        <w:t>омана</w:t>
      </w:r>
      <w:r w:rsidRPr="00D93F58">
        <w:rPr>
          <w:lang w:val="uk-UA"/>
        </w:rPr>
        <w:t xml:space="preserve"> С</w:t>
      </w:r>
      <w:r w:rsidR="004B655C">
        <w:rPr>
          <w:lang w:val="uk-UA"/>
        </w:rPr>
        <w:t>ергійовича</w:t>
      </w:r>
      <w:r w:rsidRPr="00D93F58">
        <w:rPr>
          <w:lang w:val="uk-UA"/>
        </w:rPr>
        <w:t xml:space="preserve"> Нурищенка може бути рекомендована до захисту, а її автор заслуговує на присудження ступеня доктора філософії за спеціальністю 081 «Право».</w:t>
      </w:r>
    </w:p>
    <w:p w14:paraId="77CDC7C1" w14:textId="77777777" w:rsidR="001629CA" w:rsidRPr="00D93F58" w:rsidRDefault="001629CA">
      <w:pPr>
        <w:spacing w:after="0" w:line="360" w:lineRule="auto"/>
        <w:jc w:val="both"/>
        <w:rPr>
          <w:lang w:val="uk-UA"/>
        </w:rPr>
      </w:pPr>
    </w:p>
    <w:p w14:paraId="2C754182" w14:textId="77777777" w:rsidR="00BE76F6" w:rsidRDefault="00BE76F6" w:rsidP="00BE76F6">
      <w:pPr>
        <w:spacing w:after="0" w:line="240" w:lineRule="auto"/>
        <w:rPr>
          <w:b/>
          <w:lang w:val="uk-UA"/>
        </w:rPr>
      </w:pPr>
    </w:p>
    <w:p w14:paraId="295EDE96" w14:textId="77777777" w:rsidR="00BE76F6" w:rsidRDefault="00BE76F6" w:rsidP="00BE76F6">
      <w:pPr>
        <w:spacing w:after="0" w:line="240" w:lineRule="auto"/>
        <w:rPr>
          <w:b/>
          <w:lang w:val="uk-UA"/>
        </w:rPr>
      </w:pPr>
      <w:r w:rsidRPr="00BE76F6">
        <w:rPr>
          <w:b/>
          <w:lang w:val="uk-UA"/>
        </w:rPr>
        <w:t xml:space="preserve">Рецензент: </w:t>
      </w:r>
    </w:p>
    <w:p w14:paraId="012319D9" w14:textId="77777777" w:rsidR="00983CAA" w:rsidRDefault="004B655C" w:rsidP="00BE76F6">
      <w:pPr>
        <w:spacing w:after="0" w:line="240" w:lineRule="auto"/>
        <w:rPr>
          <w:b/>
          <w:lang w:val="uk-UA"/>
        </w:rPr>
      </w:pPr>
      <w:r>
        <w:rPr>
          <w:b/>
          <w:lang w:val="uk-UA"/>
        </w:rPr>
        <w:t>доктор юридичних наук</w:t>
      </w:r>
      <w:r w:rsidR="00983CAA">
        <w:rPr>
          <w:b/>
          <w:lang w:val="uk-UA"/>
        </w:rPr>
        <w:t xml:space="preserve">, </w:t>
      </w:r>
    </w:p>
    <w:p w14:paraId="7628176B" w14:textId="77777777" w:rsidR="00983CAA" w:rsidRDefault="00983CAA" w:rsidP="00BE76F6">
      <w:pPr>
        <w:spacing w:after="0" w:line="240" w:lineRule="auto"/>
        <w:rPr>
          <w:b/>
          <w:lang w:val="uk-UA"/>
        </w:rPr>
      </w:pPr>
      <w:r>
        <w:rPr>
          <w:b/>
          <w:lang w:val="uk-UA"/>
        </w:rPr>
        <w:t>старший науковий співробітник,</w:t>
      </w:r>
    </w:p>
    <w:p w14:paraId="4D3AC6CE" w14:textId="14047887" w:rsidR="00983CAA" w:rsidRDefault="00983CAA" w:rsidP="00BE76F6">
      <w:pPr>
        <w:spacing w:after="0" w:line="240" w:lineRule="auto"/>
        <w:rPr>
          <w:b/>
          <w:lang w:val="uk-UA"/>
        </w:rPr>
      </w:pPr>
      <w:r>
        <w:rPr>
          <w:b/>
          <w:lang w:val="uk-UA"/>
        </w:rPr>
        <w:t xml:space="preserve">провідний науковий співробітник </w:t>
      </w:r>
    </w:p>
    <w:p w14:paraId="5F53484F" w14:textId="77777777" w:rsidR="00983CAA" w:rsidRDefault="00983CAA" w:rsidP="00BE76F6">
      <w:pPr>
        <w:spacing w:after="0" w:line="240" w:lineRule="auto"/>
        <w:rPr>
          <w:b/>
          <w:lang w:val="uk-UA"/>
        </w:rPr>
      </w:pPr>
      <w:r>
        <w:rPr>
          <w:b/>
          <w:lang w:val="uk-UA"/>
        </w:rPr>
        <w:t>відділу цивільно-правових наук</w:t>
      </w:r>
    </w:p>
    <w:p w14:paraId="748DD58A" w14:textId="77777777" w:rsidR="00983CAA" w:rsidRDefault="00983CAA" w:rsidP="00BE76F6">
      <w:pPr>
        <w:spacing w:after="0" w:line="240" w:lineRule="auto"/>
        <w:rPr>
          <w:b/>
          <w:lang w:val="uk-UA"/>
        </w:rPr>
      </w:pPr>
      <w:r>
        <w:rPr>
          <w:b/>
          <w:lang w:val="uk-UA"/>
        </w:rPr>
        <w:t xml:space="preserve">Інституту держави і права </w:t>
      </w:r>
    </w:p>
    <w:p w14:paraId="0FDFB989" w14:textId="3232C826" w:rsidR="004B655C" w:rsidRPr="00BE76F6" w:rsidRDefault="00983CAA" w:rsidP="00BE76F6">
      <w:pPr>
        <w:spacing w:after="0" w:line="240" w:lineRule="auto"/>
        <w:rPr>
          <w:b/>
          <w:lang w:val="uk-UA"/>
        </w:rPr>
      </w:pPr>
      <w:r>
        <w:rPr>
          <w:b/>
          <w:lang w:val="uk-UA"/>
        </w:rPr>
        <w:t>імені В. М. Корецького НАН України                                   Тимченко Г. П.</w:t>
      </w:r>
    </w:p>
    <w:sectPr w:rsidR="004B655C" w:rsidRPr="00BE76F6" w:rsidSect="00034616">
      <w:pgSz w:w="11906" w:h="16838"/>
      <w:pgMar w:top="1134" w:right="850" w:bottom="1134" w:left="1417"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309020205020404"/>
    <w:charset w:val="00"/>
    <w:family w:val="auto"/>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30"/>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20"/>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a"/>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a0"/>
      <w:lvlText w:val=""/>
      <w:lvlJc w:val="left"/>
      <w:pPr>
        <w:tabs>
          <w:tab w:val="num" w:pos="360"/>
        </w:tabs>
        <w:ind w:left="360" w:hanging="360"/>
      </w:pPr>
      <w:rPr>
        <w:rFonts w:ascii="Symbol" w:hAnsi="Symbol" w:hint="default"/>
      </w:rPr>
    </w:lvl>
  </w:abstractNum>
  <w:num w:numId="1" w16cid:durableId="1236670145">
    <w:abstractNumId w:val="8"/>
  </w:num>
  <w:num w:numId="2" w16cid:durableId="148450157">
    <w:abstractNumId w:val="6"/>
  </w:num>
  <w:num w:numId="3" w16cid:durableId="1337883011">
    <w:abstractNumId w:val="5"/>
  </w:num>
  <w:num w:numId="4" w16cid:durableId="1918200479">
    <w:abstractNumId w:val="4"/>
  </w:num>
  <w:num w:numId="5" w16cid:durableId="1136603087">
    <w:abstractNumId w:val="7"/>
  </w:num>
  <w:num w:numId="6" w16cid:durableId="436486038">
    <w:abstractNumId w:val="3"/>
  </w:num>
  <w:num w:numId="7" w16cid:durableId="1543328797">
    <w:abstractNumId w:val="2"/>
  </w:num>
  <w:num w:numId="8" w16cid:durableId="1223905369">
    <w:abstractNumId w:val="1"/>
  </w:num>
  <w:num w:numId="9" w16cid:durableId="36938275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7730"/>
    <w:rsid w:val="00034616"/>
    <w:rsid w:val="0006063C"/>
    <w:rsid w:val="000A489B"/>
    <w:rsid w:val="0015074B"/>
    <w:rsid w:val="001629CA"/>
    <w:rsid w:val="00185DDD"/>
    <w:rsid w:val="0029208A"/>
    <w:rsid w:val="0029639D"/>
    <w:rsid w:val="00326F90"/>
    <w:rsid w:val="003513ED"/>
    <w:rsid w:val="0041510C"/>
    <w:rsid w:val="00480813"/>
    <w:rsid w:val="004B655C"/>
    <w:rsid w:val="00594560"/>
    <w:rsid w:val="006A68BE"/>
    <w:rsid w:val="006E79E1"/>
    <w:rsid w:val="007461F6"/>
    <w:rsid w:val="008374DF"/>
    <w:rsid w:val="0089727E"/>
    <w:rsid w:val="008A5291"/>
    <w:rsid w:val="008C6C00"/>
    <w:rsid w:val="00983CAA"/>
    <w:rsid w:val="00A70615"/>
    <w:rsid w:val="00A829DD"/>
    <w:rsid w:val="00AA1D8D"/>
    <w:rsid w:val="00B47730"/>
    <w:rsid w:val="00BE052D"/>
    <w:rsid w:val="00BE76F6"/>
    <w:rsid w:val="00CB0664"/>
    <w:rsid w:val="00D93F58"/>
    <w:rsid w:val="00EC042A"/>
    <w:rsid w:val="00F75BC1"/>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054C5137"/>
  <w14:defaultImageDpi w14:val="300"/>
  <w15:docId w15:val="{D9DE7A05-968E-4E5D-BD14-0277856A4D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FC693F"/>
    <w:rPr>
      <w:rFonts w:ascii="Times New Roman" w:eastAsia="Times New Roman" w:hAnsi="Times New Roman"/>
      <w:sz w:val="28"/>
    </w:rPr>
  </w:style>
  <w:style w:type="paragraph" w:styleId="1">
    <w:name w:val="heading 1"/>
    <w:basedOn w:val="a1"/>
    <w:next w:val="a1"/>
    <w:link w:val="10"/>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Cs w:val="28"/>
    </w:rPr>
  </w:style>
  <w:style w:type="paragraph" w:styleId="21">
    <w:name w:val="heading 2"/>
    <w:basedOn w:val="a1"/>
    <w:next w:val="a1"/>
    <w:link w:val="22"/>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1">
    <w:name w:val="heading 3"/>
    <w:basedOn w:val="a1"/>
    <w:next w:val="a1"/>
    <w:link w:val="32"/>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1"/>
    <w:next w:val="a1"/>
    <w:link w:val="40"/>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1"/>
    <w:next w:val="a1"/>
    <w:link w:val="50"/>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1"/>
    <w:next w:val="a1"/>
    <w:link w:val="60"/>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1"/>
    <w:next w:val="a1"/>
    <w:link w:val="70"/>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1"/>
    <w:next w:val="a1"/>
    <w:link w:val="80"/>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9">
    <w:name w:val="heading 9"/>
    <w:basedOn w:val="a1"/>
    <w:next w:val="a1"/>
    <w:link w:val="90"/>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iPriority w:val="99"/>
    <w:unhideWhenUsed/>
    <w:rsid w:val="00E618BF"/>
    <w:pPr>
      <w:tabs>
        <w:tab w:val="center" w:pos="4680"/>
        <w:tab w:val="right" w:pos="9360"/>
      </w:tabs>
      <w:spacing w:after="0" w:line="240" w:lineRule="auto"/>
    </w:pPr>
  </w:style>
  <w:style w:type="character" w:customStyle="1" w:styleId="a6">
    <w:name w:val="Верхний колонтитул Знак"/>
    <w:basedOn w:val="a2"/>
    <w:link w:val="a5"/>
    <w:uiPriority w:val="99"/>
    <w:rsid w:val="00E618BF"/>
  </w:style>
  <w:style w:type="paragraph" w:styleId="a7">
    <w:name w:val="footer"/>
    <w:basedOn w:val="a1"/>
    <w:link w:val="a8"/>
    <w:uiPriority w:val="99"/>
    <w:unhideWhenUsed/>
    <w:rsid w:val="00E618BF"/>
    <w:pPr>
      <w:tabs>
        <w:tab w:val="center" w:pos="4680"/>
        <w:tab w:val="right" w:pos="9360"/>
      </w:tabs>
      <w:spacing w:after="0" w:line="240" w:lineRule="auto"/>
    </w:pPr>
  </w:style>
  <w:style w:type="character" w:customStyle="1" w:styleId="a8">
    <w:name w:val="Нижний колонтитул Знак"/>
    <w:basedOn w:val="a2"/>
    <w:link w:val="a7"/>
    <w:uiPriority w:val="99"/>
    <w:rsid w:val="00E618BF"/>
  </w:style>
  <w:style w:type="paragraph" w:styleId="a9">
    <w:name w:val="No Spacing"/>
    <w:uiPriority w:val="1"/>
    <w:qFormat/>
    <w:rsid w:val="00FC693F"/>
    <w:pPr>
      <w:spacing w:after="0" w:line="240" w:lineRule="auto"/>
    </w:pPr>
  </w:style>
  <w:style w:type="character" w:customStyle="1" w:styleId="10">
    <w:name w:val="Заголовок 1 Знак"/>
    <w:basedOn w:val="a2"/>
    <w:link w:val="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22">
    <w:name w:val="Заголовок 2 Знак"/>
    <w:basedOn w:val="a2"/>
    <w:link w:val="21"/>
    <w:uiPriority w:val="9"/>
    <w:rsid w:val="00FC693F"/>
    <w:rPr>
      <w:rFonts w:asciiTheme="majorHAnsi" w:eastAsiaTheme="majorEastAsia" w:hAnsiTheme="majorHAnsi" w:cstheme="majorBidi"/>
      <w:b/>
      <w:bCs/>
      <w:color w:val="4F81BD" w:themeColor="accent1"/>
      <w:sz w:val="26"/>
      <w:szCs w:val="26"/>
    </w:rPr>
  </w:style>
  <w:style w:type="character" w:customStyle="1" w:styleId="32">
    <w:name w:val="Заголовок 3 Знак"/>
    <w:basedOn w:val="a2"/>
    <w:link w:val="31"/>
    <w:uiPriority w:val="9"/>
    <w:rsid w:val="00FC693F"/>
    <w:rPr>
      <w:rFonts w:asciiTheme="majorHAnsi" w:eastAsiaTheme="majorEastAsia" w:hAnsiTheme="majorHAnsi" w:cstheme="majorBidi"/>
      <w:b/>
      <w:bCs/>
      <w:color w:val="4F81BD" w:themeColor="accent1"/>
    </w:rPr>
  </w:style>
  <w:style w:type="paragraph" w:styleId="aa">
    <w:name w:val="Title"/>
    <w:basedOn w:val="a1"/>
    <w:next w:val="a1"/>
    <w:link w:val="ab"/>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b">
    <w:name w:val="Заголовок Знак"/>
    <w:basedOn w:val="a2"/>
    <w:link w:val="aa"/>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ac">
    <w:name w:val="Subtitle"/>
    <w:basedOn w:val="a1"/>
    <w:next w:val="a1"/>
    <w:link w:val="ad"/>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d">
    <w:name w:val="Подзаголовок Знак"/>
    <w:basedOn w:val="a2"/>
    <w:link w:val="ac"/>
    <w:uiPriority w:val="11"/>
    <w:rsid w:val="00FC693F"/>
    <w:rPr>
      <w:rFonts w:asciiTheme="majorHAnsi" w:eastAsiaTheme="majorEastAsia" w:hAnsiTheme="majorHAnsi" w:cstheme="majorBidi"/>
      <w:i/>
      <w:iCs/>
      <w:color w:val="4F81BD" w:themeColor="accent1"/>
      <w:spacing w:val="15"/>
      <w:sz w:val="24"/>
      <w:szCs w:val="24"/>
    </w:rPr>
  </w:style>
  <w:style w:type="paragraph" w:styleId="ae">
    <w:name w:val="List Paragraph"/>
    <w:basedOn w:val="a1"/>
    <w:uiPriority w:val="34"/>
    <w:qFormat/>
    <w:rsid w:val="00FC693F"/>
    <w:pPr>
      <w:ind w:left="720"/>
      <w:contextualSpacing/>
    </w:pPr>
  </w:style>
  <w:style w:type="paragraph" w:styleId="af">
    <w:name w:val="Body Text"/>
    <w:basedOn w:val="a1"/>
    <w:link w:val="af0"/>
    <w:uiPriority w:val="99"/>
    <w:unhideWhenUsed/>
    <w:rsid w:val="00AA1D8D"/>
    <w:pPr>
      <w:spacing w:after="120"/>
    </w:pPr>
  </w:style>
  <w:style w:type="character" w:customStyle="1" w:styleId="af0">
    <w:name w:val="Основной текст Знак"/>
    <w:basedOn w:val="a2"/>
    <w:link w:val="af"/>
    <w:uiPriority w:val="99"/>
    <w:rsid w:val="00AA1D8D"/>
  </w:style>
  <w:style w:type="paragraph" w:styleId="23">
    <w:name w:val="Body Text 2"/>
    <w:basedOn w:val="a1"/>
    <w:link w:val="24"/>
    <w:uiPriority w:val="99"/>
    <w:unhideWhenUsed/>
    <w:rsid w:val="00AA1D8D"/>
    <w:pPr>
      <w:spacing w:after="120" w:line="480" w:lineRule="auto"/>
    </w:pPr>
  </w:style>
  <w:style w:type="character" w:customStyle="1" w:styleId="24">
    <w:name w:val="Основной текст 2 Знак"/>
    <w:basedOn w:val="a2"/>
    <w:link w:val="23"/>
    <w:uiPriority w:val="99"/>
    <w:rsid w:val="00AA1D8D"/>
  </w:style>
  <w:style w:type="paragraph" w:styleId="33">
    <w:name w:val="Body Text 3"/>
    <w:basedOn w:val="a1"/>
    <w:link w:val="34"/>
    <w:uiPriority w:val="99"/>
    <w:unhideWhenUsed/>
    <w:rsid w:val="00AA1D8D"/>
    <w:pPr>
      <w:spacing w:after="120"/>
    </w:pPr>
    <w:rPr>
      <w:sz w:val="16"/>
      <w:szCs w:val="16"/>
    </w:rPr>
  </w:style>
  <w:style w:type="character" w:customStyle="1" w:styleId="34">
    <w:name w:val="Основной текст 3 Знак"/>
    <w:basedOn w:val="a2"/>
    <w:link w:val="33"/>
    <w:uiPriority w:val="99"/>
    <w:rsid w:val="00AA1D8D"/>
    <w:rPr>
      <w:sz w:val="16"/>
      <w:szCs w:val="16"/>
    </w:rPr>
  </w:style>
  <w:style w:type="paragraph" w:styleId="af1">
    <w:name w:val="List"/>
    <w:basedOn w:val="a1"/>
    <w:uiPriority w:val="99"/>
    <w:unhideWhenUsed/>
    <w:rsid w:val="00AA1D8D"/>
    <w:pPr>
      <w:ind w:left="360" w:hanging="360"/>
      <w:contextualSpacing/>
    </w:pPr>
  </w:style>
  <w:style w:type="paragraph" w:styleId="25">
    <w:name w:val="List 2"/>
    <w:basedOn w:val="a1"/>
    <w:uiPriority w:val="99"/>
    <w:unhideWhenUsed/>
    <w:rsid w:val="00326F90"/>
    <w:pPr>
      <w:ind w:left="720" w:hanging="360"/>
      <w:contextualSpacing/>
    </w:pPr>
  </w:style>
  <w:style w:type="paragraph" w:styleId="35">
    <w:name w:val="List 3"/>
    <w:basedOn w:val="a1"/>
    <w:uiPriority w:val="99"/>
    <w:unhideWhenUsed/>
    <w:rsid w:val="00326F90"/>
    <w:pPr>
      <w:ind w:left="1080" w:hanging="360"/>
      <w:contextualSpacing/>
    </w:pPr>
  </w:style>
  <w:style w:type="paragraph" w:styleId="a0">
    <w:name w:val="List Bullet"/>
    <w:basedOn w:val="a1"/>
    <w:uiPriority w:val="99"/>
    <w:unhideWhenUsed/>
    <w:rsid w:val="00326F90"/>
    <w:pPr>
      <w:numPr>
        <w:numId w:val="1"/>
      </w:numPr>
      <w:contextualSpacing/>
    </w:pPr>
  </w:style>
  <w:style w:type="paragraph" w:styleId="20">
    <w:name w:val="List Bullet 2"/>
    <w:basedOn w:val="a1"/>
    <w:uiPriority w:val="99"/>
    <w:unhideWhenUsed/>
    <w:rsid w:val="00326F90"/>
    <w:pPr>
      <w:numPr>
        <w:numId w:val="2"/>
      </w:numPr>
      <w:contextualSpacing/>
    </w:pPr>
  </w:style>
  <w:style w:type="paragraph" w:styleId="30">
    <w:name w:val="List Bullet 3"/>
    <w:basedOn w:val="a1"/>
    <w:uiPriority w:val="99"/>
    <w:unhideWhenUsed/>
    <w:rsid w:val="00326F90"/>
    <w:pPr>
      <w:numPr>
        <w:numId w:val="3"/>
      </w:numPr>
      <w:contextualSpacing/>
    </w:pPr>
  </w:style>
  <w:style w:type="paragraph" w:styleId="a">
    <w:name w:val="List Number"/>
    <w:basedOn w:val="a1"/>
    <w:uiPriority w:val="99"/>
    <w:unhideWhenUsed/>
    <w:rsid w:val="00326F90"/>
    <w:pPr>
      <w:numPr>
        <w:numId w:val="5"/>
      </w:numPr>
      <w:contextualSpacing/>
    </w:pPr>
  </w:style>
  <w:style w:type="paragraph" w:styleId="2">
    <w:name w:val="List Number 2"/>
    <w:basedOn w:val="a1"/>
    <w:uiPriority w:val="99"/>
    <w:unhideWhenUsed/>
    <w:rsid w:val="0029639D"/>
    <w:pPr>
      <w:numPr>
        <w:numId w:val="6"/>
      </w:numPr>
      <w:contextualSpacing/>
    </w:pPr>
  </w:style>
  <w:style w:type="paragraph" w:styleId="3">
    <w:name w:val="List Number 3"/>
    <w:basedOn w:val="a1"/>
    <w:uiPriority w:val="99"/>
    <w:unhideWhenUsed/>
    <w:rsid w:val="0029639D"/>
    <w:pPr>
      <w:numPr>
        <w:numId w:val="7"/>
      </w:numPr>
      <w:contextualSpacing/>
    </w:pPr>
  </w:style>
  <w:style w:type="paragraph" w:styleId="af2">
    <w:name w:val="List Continue"/>
    <w:basedOn w:val="a1"/>
    <w:uiPriority w:val="99"/>
    <w:unhideWhenUsed/>
    <w:rsid w:val="0029639D"/>
    <w:pPr>
      <w:spacing w:after="120"/>
      <w:ind w:left="360"/>
      <w:contextualSpacing/>
    </w:pPr>
  </w:style>
  <w:style w:type="paragraph" w:styleId="26">
    <w:name w:val="List Continue 2"/>
    <w:basedOn w:val="a1"/>
    <w:uiPriority w:val="99"/>
    <w:unhideWhenUsed/>
    <w:rsid w:val="0029639D"/>
    <w:pPr>
      <w:spacing w:after="120"/>
      <w:ind w:left="720"/>
      <w:contextualSpacing/>
    </w:pPr>
  </w:style>
  <w:style w:type="paragraph" w:styleId="36">
    <w:name w:val="List Continue 3"/>
    <w:basedOn w:val="a1"/>
    <w:uiPriority w:val="99"/>
    <w:unhideWhenUsed/>
    <w:rsid w:val="0029639D"/>
    <w:pPr>
      <w:spacing w:after="120"/>
      <w:ind w:left="1080"/>
      <w:contextualSpacing/>
    </w:pPr>
  </w:style>
  <w:style w:type="paragraph" w:styleId="af3">
    <w:name w:val="macro"/>
    <w:link w:val="af4"/>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af4">
    <w:name w:val="Текст макроса Знак"/>
    <w:basedOn w:val="a2"/>
    <w:link w:val="af3"/>
    <w:uiPriority w:val="99"/>
    <w:rsid w:val="0029639D"/>
    <w:rPr>
      <w:rFonts w:ascii="Courier" w:hAnsi="Courier"/>
      <w:sz w:val="20"/>
      <w:szCs w:val="20"/>
    </w:rPr>
  </w:style>
  <w:style w:type="paragraph" w:styleId="27">
    <w:name w:val="Quote"/>
    <w:basedOn w:val="a1"/>
    <w:next w:val="a1"/>
    <w:link w:val="28"/>
    <w:uiPriority w:val="29"/>
    <w:qFormat/>
    <w:rsid w:val="00FC693F"/>
    <w:rPr>
      <w:i/>
      <w:iCs/>
      <w:color w:val="000000" w:themeColor="text1"/>
    </w:rPr>
  </w:style>
  <w:style w:type="character" w:customStyle="1" w:styleId="28">
    <w:name w:val="Цитата 2 Знак"/>
    <w:basedOn w:val="a2"/>
    <w:link w:val="27"/>
    <w:uiPriority w:val="29"/>
    <w:rsid w:val="00FC693F"/>
    <w:rPr>
      <w:i/>
      <w:iCs/>
      <w:color w:val="000000" w:themeColor="text1"/>
    </w:rPr>
  </w:style>
  <w:style w:type="character" w:customStyle="1" w:styleId="40">
    <w:name w:val="Заголовок 4 Знак"/>
    <w:basedOn w:val="a2"/>
    <w:link w:val="4"/>
    <w:uiPriority w:val="9"/>
    <w:semiHidden/>
    <w:rsid w:val="00FC693F"/>
    <w:rPr>
      <w:rFonts w:asciiTheme="majorHAnsi" w:eastAsiaTheme="majorEastAsia" w:hAnsiTheme="majorHAnsi" w:cstheme="majorBidi"/>
      <w:b/>
      <w:bCs/>
      <w:i/>
      <w:iCs/>
      <w:color w:val="4F81BD" w:themeColor="accent1"/>
    </w:rPr>
  </w:style>
  <w:style w:type="character" w:customStyle="1" w:styleId="50">
    <w:name w:val="Заголовок 5 Знак"/>
    <w:basedOn w:val="a2"/>
    <w:link w:val="5"/>
    <w:uiPriority w:val="9"/>
    <w:semiHidden/>
    <w:rsid w:val="00FC693F"/>
    <w:rPr>
      <w:rFonts w:asciiTheme="majorHAnsi" w:eastAsiaTheme="majorEastAsia" w:hAnsiTheme="majorHAnsi" w:cstheme="majorBidi"/>
      <w:color w:val="243F60" w:themeColor="accent1" w:themeShade="7F"/>
    </w:rPr>
  </w:style>
  <w:style w:type="character" w:customStyle="1" w:styleId="60">
    <w:name w:val="Заголовок 6 Знак"/>
    <w:basedOn w:val="a2"/>
    <w:link w:val="6"/>
    <w:uiPriority w:val="9"/>
    <w:semiHidden/>
    <w:rsid w:val="00FC693F"/>
    <w:rPr>
      <w:rFonts w:asciiTheme="majorHAnsi" w:eastAsiaTheme="majorEastAsia" w:hAnsiTheme="majorHAnsi" w:cstheme="majorBidi"/>
      <w:i/>
      <w:iCs/>
      <w:color w:val="243F60" w:themeColor="accent1" w:themeShade="7F"/>
    </w:rPr>
  </w:style>
  <w:style w:type="character" w:customStyle="1" w:styleId="70">
    <w:name w:val="Заголовок 7 Знак"/>
    <w:basedOn w:val="a2"/>
    <w:link w:val="7"/>
    <w:uiPriority w:val="9"/>
    <w:semiHidden/>
    <w:rsid w:val="00FC693F"/>
    <w:rPr>
      <w:rFonts w:asciiTheme="majorHAnsi" w:eastAsiaTheme="majorEastAsia" w:hAnsiTheme="majorHAnsi" w:cstheme="majorBidi"/>
      <w:i/>
      <w:iCs/>
      <w:color w:val="404040" w:themeColor="text1" w:themeTint="BF"/>
    </w:rPr>
  </w:style>
  <w:style w:type="character" w:customStyle="1" w:styleId="80">
    <w:name w:val="Заголовок 8 Знак"/>
    <w:basedOn w:val="a2"/>
    <w:link w:val="8"/>
    <w:uiPriority w:val="9"/>
    <w:semiHidden/>
    <w:rsid w:val="00FC693F"/>
    <w:rPr>
      <w:rFonts w:asciiTheme="majorHAnsi" w:eastAsiaTheme="majorEastAsia" w:hAnsiTheme="majorHAnsi" w:cstheme="majorBidi"/>
      <w:color w:val="4F81BD" w:themeColor="accent1"/>
      <w:sz w:val="20"/>
      <w:szCs w:val="20"/>
    </w:rPr>
  </w:style>
  <w:style w:type="character" w:customStyle="1" w:styleId="90">
    <w:name w:val="Заголовок 9 Знак"/>
    <w:basedOn w:val="a2"/>
    <w:link w:val="9"/>
    <w:uiPriority w:val="9"/>
    <w:semiHidden/>
    <w:rsid w:val="00FC693F"/>
    <w:rPr>
      <w:rFonts w:asciiTheme="majorHAnsi" w:eastAsiaTheme="majorEastAsia" w:hAnsiTheme="majorHAnsi" w:cstheme="majorBidi"/>
      <w:i/>
      <w:iCs/>
      <w:color w:val="404040" w:themeColor="text1" w:themeTint="BF"/>
      <w:sz w:val="20"/>
      <w:szCs w:val="20"/>
    </w:rPr>
  </w:style>
  <w:style w:type="paragraph" w:styleId="af5">
    <w:name w:val="caption"/>
    <w:basedOn w:val="a1"/>
    <w:next w:val="a1"/>
    <w:uiPriority w:val="35"/>
    <w:semiHidden/>
    <w:unhideWhenUsed/>
    <w:qFormat/>
    <w:rsid w:val="00FC693F"/>
    <w:pPr>
      <w:spacing w:line="240" w:lineRule="auto"/>
    </w:pPr>
    <w:rPr>
      <w:b/>
      <w:bCs/>
      <w:color w:val="4F81BD" w:themeColor="accent1"/>
      <w:sz w:val="18"/>
      <w:szCs w:val="18"/>
    </w:rPr>
  </w:style>
  <w:style w:type="character" w:styleId="af6">
    <w:name w:val="Strong"/>
    <w:basedOn w:val="a2"/>
    <w:uiPriority w:val="22"/>
    <w:qFormat/>
    <w:rsid w:val="00FC693F"/>
    <w:rPr>
      <w:b/>
      <w:bCs/>
    </w:rPr>
  </w:style>
  <w:style w:type="character" w:styleId="af7">
    <w:name w:val="Emphasis"/>
    <w:basedOn w:val="a2"/>
    <w:uiPriority w:val="20"/>
    <w:qFormat/>
    <w:rsid w:val="00FC693F"/>
    <w:rPr>
      <w:i/>
      <w:iCs/>
    </w:rPr>
  </w:style>
  <w:style w:type="paragraph" w:styleId="af8">
    <w:name w:val="Intense Quote"/>
    <w:basedOn w:val="a1"/>
    <w:next w:val="a1"/>
    <w:link w:val="af9"/>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af9">
    <w:name w:val="Выделенная цитата Знак"/>
    <w:basedOn w:val="a2"/>
    <w:link w:val="af8"/>
    <w:uiPriority w:val="30"/>
    <w:rsid w:val="00FC693F"/>
    <w:rPr>
      <w:b/>
      <w:bCs/>
      <w:i/>
      <w:iCs/>
      <w:color w:val="4F81BD" w:themeColor="accent1"/>
    </w:rPr>
  </w:style>
  <w:style w:type="character" w:styleId="afa">
    <w:name w:val="Subtle Emphasis"/>
    <w:basedOn w:val="a2"/>
    <w:uiPriority w:val="19"/>
    <w:qFormat/>
    <w:rsid w:val="00FC693F"/>
    <w:rPr>
      <w:i/>
      <w:iCs/>
      <w:color w:val="808080" w:themeColor="text1" w:themeTint="7F"/>
    </w:rPr>
  </w:style>
  <w:style w:type="character" w:styleId="afb">
    <w:name w:val="Intense Emphasis"/>
    <w:basedOn w:val="a2"/>
    <w:uiPriority w:val="21"/>
    <w:qFormat/>
    <w:rsid w:val="00FC693F"/>
    <w:rPr>
      <w:b/>
      <w:bCs/>
      <w:i/>
      <w:iCs/>
      <w:color w:val="4F81BD" w:themeColor="accent1"/>
    </w:rPr>
  </w:style>
  <w:style w:type="character" w:styleId="afc">
    <w:name w:val="Subtle Reference"/>
    <w:basedOn w:val="a2"/>
    <w:uiPriority w:val="31"/>
    <w:qFormat/>
    <w:rsid w:val="00FC693F"/>
    <w:rPr>
      <w:smallCaps/>
      <w:color w:val="C0504D" w:themeColor="accent2"/>
      <w:u w:val="single"/>
    </w:rPr>
  </w:style>
  <w:style w:type="character" w:styleId="afd">
    <w:name w:val="Intense Reference"/>
    <w:basedOn w:val="a2"/>
    <w:uiPriority w:val="32"/>
    <w:qFormat/>
    <w:rsid w:val="00FC693F"/>
    <w:rPr>
      <w:b/>
      <w:bCs/>
      <w:smallCaps/>
      <w:color w:val="C0504D" w:themeColor="accent2"/>
      <w:spacing w:val="5"/>
      <w:u w:val="single"/>
    </w:rPr>
  </w:style>
  <w:style w:type="character" w:styleId="afe">
    <w:name w:val="Book Title"/>
    <w:basedOn w:val="a2"/>
    <w:uiPriority w:val="33"/>
    <w:qFormat/>
    <w:rsid w:val="00FC693F"/>
    <w:rPr>
      <w:b/>
      <w:bCs/>
      <w:smallCaps/>
      <w:spacing w:val="5"/>
    </w:rPr>
  </w:style>
  <w:style w:type="paragraph" w:styleId="aff">
    <w:name w:val="TOC Heading"/>
    <w:basedOn w:val="1"/>
    <w:next w:val="a1"/>
    <w:uiPriority w:val="39"/>
    <w:semiHidden/>
    <w:unhideWhenUsed/>
    <w:qFormat/>
    <w:rsid w:val="00FC693F"/>
    <w:pPr>
      <w:outlineLvl w:val="9"/>
    </w:pPr>
  </w:style>
  <w:style w:type="table" w:styleId="aff0">
    <w:name w:val="Table Grid"/>
    <w:basedOn w:val="a3"/>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1">
    <w:name w:val="Light Shading"/>
    <w:basedOn w:val="a3"/>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
    <w:name w:val="Light Shading Accent 1"/>
    <w:basedOn w:val="a3"/>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
    <w:name w:val="Light Shading Accent 2"/>
    <w:basedOn w:val="a3"/>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
    <w:name w:val="Light Shading Accent 3"/>
    <w:basedOn w:val="a3"/>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
    <w:name w:val="Light Shading Accent 4"/>
    <w:basedOn w:val="a3"/>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
    <w:name w:val="Light Shading Accent 5"/>
    <w:basedOn w:val="a3"/>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
    <w:name w:val="Light Shading Accent 6"/>
    <w:basedOn w:val="a3"/>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aff2">
    <w:name w:val="Light List"/>
    <w:basedOn w:val="a3"/>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0">
    <w:name w:val="Light List Accent 1"/>
    <w:basedOn w:val="a3"/>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0">
    <w:name w:val="Light List Accent 2"/>
    <w:basedOn w:val="a3"/>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0">
    <w:name w:val="Light List Accent 3"/>
    <w:basedOn w:val="a3"/>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0">
    <w:name w:val="Light List Accent 4"/>
    <w:basedOn w:val="a3"/>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0">
    <w:name w:val="Light List Accent 5"/>
    <w:basedOn w:val="a3"/>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0">
    <w:name w:val="Light List Accent 6"/>
    <w:basedOn w:val="a3"/>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aff3">
    <w:name w:val="Light Grid"/>
    <w:basedOn w:val="a3"/>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1">
    <w:name w:val="Light Grid Accent 1"/>
    <w:basedOn w:val="a3"/>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21">
    <w:name w:val="Light Grid Accent 2"/>
    <w:basedOn w:val="a3"/>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31">
    <w:name w:val="Light Grid Accent 3"/>
    <w:basedOn w:val="a3"/>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41">
    <w:name w:val="Light Grid Accent 4"/>
    <w:basedOn w:val="a3"/>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51">
    <w:name w:val="Light Grid Accent 5"/>
    <w:basedOn w:val="a3"/>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61">
    <w:name w:val="Light Grid Accent 6"/>
    <w:basedOn w:val="a3"/>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11">
    <w:name w:val="Medium Shading 1"/>
    <w:basedOn w:val="a3"/>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
    <w:name w:val="Medium Shading 1 Accent 1"/>
    <w:basedOn w:val="a3"/>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
    <w:name w:val="Medium Shading 1 Accent 2"/>
    <w:basedOn w:val="a3"/>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
    <w:name w:val="Medium Shading 1 Accent 3"/>
    <w:basedOn w:val="a3"/>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
    <w:name w:val="Medium Shading 1 Accent 4"/>
    <w:basedOn w:val="a3"/>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
    <w:name w:val="Medium Shading 1 Accent 5"/>
    <w:basedOn w:val="a3"/>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
    <w:name w:val="Medium Shading 1 Accent 6"/>
    <w:basedOn w:val="a3"/>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9">
    <w:name w:val="Medium Shading 2"/>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
    <w:name w:val="Medium Shading 2 Accent 1"/>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2">
    <w:name w:val="Medium Shading 2 Accent 2"/>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3">
    <w:name w:val="Medium Shading 2 Accent 3"/>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4">
    <w:name w:val="Medium Shading 2 Accent 4"/>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5">
    <w:name w:val="Medium Shading 2 Accent 5"/>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6">
    <w:name w:val="Medium Shading 2 Accent 6"/>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2">
    <w:name w:val="Medium List 1"/>
    <w:basedOn w:val="a3"/>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0">
    <w:name w:val="Medium List 1 Accent 1"/>
    <w:basedOn w:val="a3"/>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0">
    <w:name w:val="Medium List 1 Accent 2"/>
    <w:basedOn w:val="a3"/>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0">
    <w:name w:val="Medium List 1 Accent 3"/>
    <w:basedOn w:val="a3"/>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0">
    <w:name w:val="Medium List 1 Accent 4"/>
    <w:basedOn w:val="a3"/>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0">
    <w:name w:val="Medium List 1 Accent 5"/>
    <w:basedOn w:val="a3"/>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0">
    <w:name w:val="Medium List 1 Accent 6"/>
    <w:basedOn w:val="a3"/>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a">
    <w:name w:val="Medium List 2"/>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0">
    <w:name w:val="Medium List 2 Accent 1"/>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0">
    <w:name w:val="Medium List 2 Accent 2"/>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0">
    <w:name w:val="Medium List 2 Accent 3"/>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0">
    <w:name w:val="Medium List 2 Accent 4"/>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0">
    <w:name w:val="Medium List 2 Accent 5"/>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0">
    <w:name w:val="Medium List 2 Accent 6"/>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3">
    <w:name w:val="Medium Grid 1"/>
    <w:basedOn w:val="a3"/>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1">
    <w:name w:val="Medium Grid 1 Accent 1"/>
    <w:basedOn w:val="a3"/>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21">
    <w:name w:val="Medium Grid 1 Accent 2"/>
    <w:basedOn w:val="a3"/>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1">
    <w:name w:val="Medium Grid 1 Accent 3"/>
    <w:basedOn w:val="a3"/>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1">
    <w:name w:val="Medium Grid 1 Accent 4"/>
    <w:basedOn w:val="a3"/>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1">
    <w:name w:val="Medium Grid 1 Accent 5"/>
    <w:basedOn w:val="a3"/>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1">
    <w:name w:val="Medium Grid 1 Accent 6"/>
    <w:basedOn w:val="a3"/>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b">
    <w:name w:val="Medium Grid 2"/>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1">
    <w:name w:val="Medium Grid 2 Accent 1"/>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21">
    <w:name w:val="Medium Grid 2 Accent 2"/>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31">
    <w:name w:val="Medium Grid 2 Accent 3"/>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41">
    <w:name w:val="Medium Grid 2 Accent 4"/>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51">
    <w:name w:val="Medium Grid 2 Accent 5"/>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61">
    <w:name w:val="Medium Grid 2 Accent 6"/>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7">
    <w:name w:val="Medium Grid 3"/>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
    <w:name w:val="Medium Grid 3 Accent 1"/>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2">
    <w:name w:val="Medium Grid 3 Accent 2"/>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3">
    <w:name w:val="Medium Grid 3 Accent 3"/>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4">
    <w:name w:val="Medium Grid 3 Accent 4"/>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5">
    <w:name w:val="Medium Grid 3 Accent 5"/>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6">
    <w:name w:val="Medium Grid 3 Accent 6"/>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aff4">
    <w:name w:val="Dark List"/>
    <w:basedOn w:val="a3"/>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2">
    <w:name w:val="Dark List Accent 1"/>
    <w:basedOn w:val="a3"/>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2">
    <w:name w:val="Dark List Accent 2"/>
    <w:basedOn w:val="a3"/>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2">
    <w:name w:val="Dark List Accent 3"/>
    <w:basedOn w:val="a3"/>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2">
    <w:name w:val="Dark List Accent 4"/>
    <w:basedOn w:val="a3"/>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2">
    <w:name w:val="Dark List Accent 5"/>
    <w:basedOn w:val="a3"/>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2">
    <w:name w:val="Dark List Accent 6"/>
    <w:basedOn w:val="a3"/>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aff5">
    <w:name w:val="Colorful Shading"/>
    <w:basedOn w:val="a3"/>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3">
    <w:name w:val="Colorful Shading Accent 1"/>
    <w:basedOn w:val="a3"/>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3">
    <w:name w:val="Colorful Shading Accent 2"/>
    <w:basedOn w:val="a3"/>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3">
    <w:name w:val="Colorful Shading Accent 3"/>
    <w:basedOn w:val="a3"/>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3">
    <w:name w:val="Colorful Shading Accent 4"/>
    <w:basedOn w:val="a3"/>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3">
    <w:name w:val="Colorful Shading Accent 5"/>
    <w:basedOn w:val="a3"/>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3">
    <w:name w:val="Colorful Shading Accent 6"/>
    <w:basedOn w:val="a3"/>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f6">
    <w:name w:val="Colorful List"/>
    <w:basedOn w:val="a3"/>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4">
    <w:name w:val="Colorful List Accent 1"/>
    <w:basedOn w:val="a3"/>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4">
    <w:name w:val="Colorful List Accent 2"/>
    <w:basedOn w:val="a3"/>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4">
    <w:name w:val="Colorful List Accent 3"/>
    <w:basedOn w:val="a3"/>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44">
    <w:name w:val="Colorful List Accent 4"/>
    <w:basedOn w:val="a3"/>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4">
    <w:name w:val="Colorful List Accent 5"/>
    <w:basedOn w:val="a3"/>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64">
    <w:name w:val="Colorful List Accent 6"/>
    <w:basedOn w:val="a3"/>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aff7">
    <w:name w:val="Colorful Grid"/>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5">
    <w:name w:val="Colorful Grid Accent 1"/>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5">
    <w:name w:val="Colorful Grid Accent 2"/>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5">
    <w:name w:val="Colorful Grid Accent 3"/>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5">
    <w:name w:val="Colorful Grid Accent 4"/>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5">
    <w:name w:val="Colorful Grid Accent 5"/>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5">
    <w:name w:val="Colorful Grid Accent 6"/>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3B37ED-4864-490A-9385-79E56007C3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3083</Words>
  <Characters>17579</Characters>
  <Application>Microsoft Office Word</Application>
  <DocSecurity>0</DocSecurity>
  <Lines>146</Lines>
  <Paragraphs>41</Paragraphs>
  <ScaleCrop>false</ScaleCrop>
  <HeadingPairs>
    <vt:vector size="6" baseType="variant">
      <vt:variant>
        <vt:lpstr>Название</vt:lpstr>
      </vt:variant>
      <vt:variant>
        <vt:i4>1</vt:i4>
      </vt:variant>
      <vt:variant>
        <vt:lpstr>Назва</vt:lpstr>
      </vt:variant>
      <vt:variant>
        <vt:i4>1</vt:i4>
      </vt:variant>
      <vt:variant>
        <vt:lpstr>Title</vt:lpstr>
      </vt:variant>
      <vt:variant>
        <vt:i4>1</vt:i4>
      </vt:variant>
    </vt:vector>
  </HeadingPairs>
  <TitlesOfParts>
    <vt:vector size="3" baseType="lpstr">
      <vt:lpstr/>
      <vt:lpstr/>
      <vt:lpstr/>
    </vt:vector>
  </TitlesOfParts>
  <Manager/>
  <Company/>
  <LinksUpToDate>false</LinksUpToDate>
  <CharactersWithSpaces>20621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cp:lastModifiedBy>Hennadii Tymchenko</cp:lastModifiedBy>
  <cp:revision>4</cp:revision>
  <dcterms:created xsi:type="dcterms:W3CDTF">2026-07-16T15:03:00Z</dcterms:created>
  <dcterms:modified xsi:type="dcterms:W3CDTF">2026-07-16T15:03:00Z</dcterms:modified>
  <cp:category/>
</cp:coreProperties>
</file>